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7C" w:rsidRPr="00BC7325" w:rsidRDefault="0018197C">
      <w:pPr>
        <w:rPr>
          <w:sz w:val="18"/>
          <w:szCs w:val="18"/>
        </w:rPr>
      </w:pPr>
      <w:bookmarkStart w:id="0" w:name="_GoBack"/>
      <w:bookmarkEnd w:id="0"/>
      <w:r w:rsidRPr="00BC7325">
        <w:rPr>
          <w:sz w:val="18"/>
          <w:szCs w:val="18"/>
        </w:rPr>
        <w:t>Gemeindeverwaltungsverband „Hohenloher Ebene“</w:t>
      </w:r>
    </w:p>
    <w:p w:rsidR="0018197C" w:rsidRPr="00BC7325" w:rsidRDefault="0018197C">
      <w:pPr>
        <w:rPr>
          <w:sz w:val="18"/>
          <w:szCs w:val="18"/>
        </w:rPr>
      </w:pPr>
      <w:r w:rsidRPr="00BC7325">
        <w:rPr>
          <w:sz w:val="18"/>
          <w:szCs w:val="18"/>
        </w:rPr>
        <w:t>Sitz 74635 Kupferzell</w:t>
      </w:r>
    </w:p>
    <w:p w:rsidR="0018197C" w:rsidRPr="00BC7325" w:rsidRDefault="0018197C">
      <w:pPr>
        <w:rPr>
          <w:sz w:val="18"/>
          <w:szCs w:val="18"/>
        </w:rPr>
      </w:pPr>
    </w:p>
    <w:p w:rsidR="0018197C" w:rsidRPr="00BC7325" w:rsidRDefault="0018197C">
      <w:pPr>
        <w:rPr>
          <w:sz w:val="18"/>
          <w:szCs w:val="18"/>
        </w:rPr>
      </w:pPr>
    </w:p>
    <w:p w:rsidR="0018197C" w:rsidRPr="00BC7325" w:rsidRDefault="0018197C">
      <w:pPr>
        <w:rPr>
          <w:sz w:val="18"/>
          <w:szCs w:val="18"/>
        </w:rPr>
      </w:pPr>
    </w:p>
    <w:p w:rsidR="0018197C" w:rsidRPr="00BC7325" w:rsidRDefault="00703337" w:rsidP="00703337">
      <w:pPr>
        <w:jc w:val="center"/>
        <w:rPr>
          <w:b/>
          <w:sz w:val="24"/>
          <w:szCs w:val="24"/>
        </w:rPr>
      </w:pPr>
      <w:r>
        <w:rPr>
          <w:b/>
          <w:sz w:val="24"/>
          <w:szCs w:val="24"/>
        </w:rPr>
        <w:t>3</w:t>
      </w:r>
      <w:r w:rsidR="00AC45D4">
        <w:rPr>
          <w:b/>
          <w:sz w:val="24"/>
          <w:szCs w:val="24"/>
        </w:rPr>
        <w:t xml:space="preserve">. Änderung </w:t>
      </w:r>
      <w:r>
        <w:rPr>
          <w:b/>
          <w:sz w:val="24"/>
          <w:szCs w:val="24"/>
        </w:rPr>
        <w:t xml:space="preserve">der </w:t>
      </w:r>
      <w:r w:rsidR="00AC45D4">
        <w:rPr>
          <w:b/>
          <w:sz w:val="24"/>
          <w:szCs w:val="24"/>
        </w:rPr>
        <w:t>4</w:t>
      </w:r>
      <w:r w:rsidR="004F4B09">
        <w:rPr>
          <w:b/>
          <w:sz w:val="24"/>
          <w:szCs w:val="24"/>
        </w:rPr>
        <w:t xml:space="preserve">. </w:t>
      </w:r>
      <w:r w:rsidR="0018197C" w:rsidRPr="00BC7325">
        <w:rPr>
          <w:b/>
          <w:sz w:val="24"/>
          <w:szCs w:val="24"/>
        </w:rPr>
        <w:t xml:space="preserve">Fortschreibung </w:t>
      </w:r>
      <w:r>
        <w:rPr>
          <w:b/>
          <w:sz w:val="24"/>
          <w:szCs w:val="24"/>
        </w:rPr>
        <w:t xml:space="preserve">des </w:t>
      </w:r>
      <w:r w:rsidR="0018197C" w:rsidRPr="00BC7325">
        <w:rPr>
          <w:b/>
          <w:sz w:val="24"/>
          <w:szCs w:val="24"/>
        </w:rPr>
        <w:t>Fläch</w:t>
      </w:r>
      <w:r w:rsidR="00BC7325">
        <w:rPr>
          <w:b/>
          <w:sz w:val="24"/>
          <w:szCs w:val="24"/>
        </w:rPr>
        <w:t>ennutzungsplan</w:t>
      </w:r>
      <w:r>
        <w:rPr>
          <w:b/>
          <w:sz w:val="24"/>
          <w:szCs w:val="24"/>
        </w:rPr>
        <w:t>s</w:t>
      </w:r>
      <w:r w:rsidR="004F4B09">
        <w:rPr>
          <w:b/>
          <w:sz w:val="24"/>
          <w:szCs w:val="24"/>
        </w:rPr>
        <w:t xml:space="preserve"> </w:t>
      </w:r>
      <w:r w:rsidR="00BC7325">
        <w:rPr>
          <w:b/>
          <w:sz w:val="24"/>
          <w:szCs w:val="24"/>
        </w:rPr>
        <w:t>des Gemeindever</w:t>
      </w:r>
      <w:r w:rsidR="0018197C" w:rsidRPr="00BC7325">
        <w:rPr>
          <w:b/>
          <w:sz w:val="24"/>
          <w:szCs w:val="24"/>
        </w:rPr>
        <w:t>waltungsverbands (GVV) „Hohenloher Ebene“</w:t>
      </w:r>
    </w:p>
    <w:p w:rsidR="0018197C" w:rsidRPr="00BC7325" w:rsidRDefault="00703337" w:rsidP="00703337">
      <w:pPr>
        <w:ind w:left="426"/>
        <w:jc w:val="center"/>
        <w:rPr>
          <w:b/>
          <w:sz w:val="24"/>
          <w:szCs w:val="24"/>
        </w:rPr>
      </w:pPr>
      <w:r>
        <w:rPr>
          <w:b/>
          <w:sz w:val="24"/>
          <w:szCs w:val="24"/>
        </w:rPr>
        <w:t xml:space="preserve">- </w:t>
      </w:r>
      <w:r w:rsidR="00C13FDC">
        <w:rPr>
          <w:b/>
          <w:sz w:val="24"/>
          <w:szCs w:val="24"/>
        </w:rPr>
        <w:t>Ö</w:t>
      </w:r>
      <w:r w:rsidR="0018197C" w:rsidRPr="00BC7325">
        <w:rPr>
          <w:b/>
          <w:sz w:val="24"/>
          <w:szCs w:val="24"/>
        </w:rPr>
        <w:t>ffentliche Bekanntmachung der Genehmigung</w:t>
      </w:r>
      <w:r w:rsidR="005C4439">
        <w:rPr>
          <w:b/>
          <w:sz w:val="24"/>
          <w:szCs w:val="24"/>
        </w:rPr>
        <w:t xml:space="preserve"> nach § 6 BauGB</w:t>
      </w:r>
      <w:r>
        <w:rPr>
          <w:b/>
          <w:sz w:val="24"/>
          <w:szCs w:val="24"/>
        </w:rPr>
        <w:t xml:space="preserve"> -</w:t>
      </w:r>
    </w:p>
    <w:p w:rsidR="0018197C" w:rsidRPr="00BC7325" w:rsidRDefault="0018197C">
      <w:pPr>
        <w:rPr>
          <w:sz w:val="18"/>
          <w:szCs w:val="18"/>
        </w:rPr>
      </w:pPr>
    </w:p>
    <w:p w:rsidR="0018197C" w:rsidRPr="00BC7325" w:rsidRDefault="0018197C">
      <w:pPr>
        <w:rPr>
          <w:sz w:val="18"/>
          <w:szCs w:val="18"/>
        </w:rPr>
      </w:pPr>
    </w:p>
    <w:p w:rsidR="0018197C" w:rsidRPr="005C4439" w:rsidRDefault="0018197C">
      <w:pPr>
        <w:rPr>
          <w:sz w:val="18"/>
          <w:szCs w:val="18"/>
        </w:rPr>
      </w:pPr>
      <w:r w:rsidRPr="005C4439">
        <w:rPr>
          <w:sz w:val="18"/>
          <w:szCs w:val="18"/>
        </w:rPr>
        <w:t xml:space="preserve">Das Landratsamt Hohenlohekreis hat mit </w:t>
      </w:r>
      <w:r w:rsidR="0011223E">
        <w:rPr>
          <w:sz w:val="18"/>
          <w:szCs w:val="18"/>
        </w:rPr>
        <w:t>Bescheid</w:t>
      </w:r>
      <w:r w:rsidR="0011223E" w:rsidRPr="005C4439">
        <w:rPr>
          <w:sz w:val="18"/>
          <w:szCs w:val="18"/>
        </w:rPr>
        <w:t xml:space="preserve"> </w:t>
      </w:r>
      <w:r w:rsidRPr="00C13FDC">
        <w:rPr>
          <w:sz w:val="18"/>
          <w:szCs w:val="18"/>
        </w:rPr>
        <w:t xml:space="preserve">vom </w:t>
      </w:r>
      <w:r w:rsidR="00703337" w:rsidRPr="00C13FDC">
        <w:rPr>
          <w:sz w:val="18"/>
          <w:szCs w:val="18"/>
        </w:rPr>
        <w:t>20</w:t>
      </w:r>
      <w:r w:rsidR="007F28FE" w:rsidRPr="00C13FDC">
        <w:rPr>
          <w:sz w:val="18"/>
          <w:szCs w:val="18"/>
        </w:rPr>
        <w:t xml:space="preserve">. </w:t>
      </w:r>
      <w:r w:rsidR="009E0EBE" w:rsidRPr="00C13FDC">
        <w:rPr>
          <w:sz w:val="18"/>
          <w:szCs w:val="18"/>
        </w:rPr>
        <w:t>November</w:t>
      </w:r>
      <w:r w:rsidR="007F28FE" w:rsidRPr="00C13FDC">
        <w:rPr>
          <w:sz w:val="18"/>
          <w:szCs w:val="18"/>
        </w:rPr>
        <w:t xml:space="preserve"> </w:t>
      </w:r>
      <w:r w:rsidR="005C4439" w:rsidRPr="00C13FDC">
        <w:rPr>
          <w:sz w:val="18"/>
          <w:szCs w:val="18"/>
        </w:rPr>
        <w:t>201</w:t>
      </w:r>
      <w:r w:rsidR="009E0EBE" w:rsidRPr="00C13FDC">
        <w:rPr>
          <w:sz w:val="18"/>
          <w:szCs w:val="18"/>
        </w:rPr>
        <w:t>9</w:t>
      </w:r>
      <w:r w:rsidRPr="00C13FDC">
        <w:rPr>
          <w:sz w:val="18"/>
          <w:szCs w:val="18"/>
        </w:rPr>
        <w:t xml:space="preserve">, Az.: </w:t>
      </w:r>
      <w:r w:rsidR="000D55B1" w:rsidRPr="00C13FDC">
        <w:rPr>
          <w:sz w:val="18"/>
          <w:szCs w:val="18"/>
        </w:rPr>
        <w:t>50.2/</w:t>
      </w:r>
      <w:r w:rsidR="007F28FE" w:rsidRPr="00C13FDC">
        <w:rPr>
          <w:sz w:val="18"/>
          <w:szCs w:val="18"/>
        </w:rPr>
        <w:t>621.31/</w:t>
      </w:r>
      <w:r w:rsidR="005C4439" w:rsidRPr="00C13FDC">
        <w:rPr>
          <w:sz w:val="18"/>
          <w:szCs w:val="18"/>
        </w:rPr>
        <w:t>wei</w:t>
      </w:r>
      <w:r w:rsidRPr="00C13FDC">
        <w:rPr>
          <w:sz w:val="18"/>
          <w:szCs w:val="18"/>
        </w:rPr>
        <w:t>, gemäß</w:t>
      </w:r>
      <w:r w:rsidRPr="005C4439">
        <w:rPr>
          <w:sz w:val="18"/>
          <w:szCs w:val="18"/>
        </w:rPr>
        <w:t xml:space="preserve"> § 6 </w:t>
      </w:r>
      <w:r w:rsidR="004F2BDF" w:rsidRPr="005C4439">
        <w:rPr>
          <w:sz w:val="18"/>
          <w:szCs w:val="18"/>
        </w:rPr>
        <w:t xml:space="preserve">BauGB </w:t>
      </w:r>
      <w:r w:rsidR="004F2BDF">
        <w:rPr>
          <w:sz w:val="18"/>
          <w:szCs w:val="18"/>
        </w:rPr>
        <w:t>(Baugesetzbuch</w:t>
      </w:r>
      <w:r w:rsidRPr="005C4439">
        <w:rPr>
          <w:sz w:val="18"/>
          <w:szCs w:val="18"/>
        </w:rPr>
        <w:t xml:space="preserve">) die von der Verbandsversammlung des GVV Hohenloher Ebene am </w:t>
      </w:r>
      <w:r w:rsidR="005C4439" w:rsidRPr="005C4439">
        <w:rPr>
          <w:sz w:val="18"/>
          <w:szCs w:val="18"/>
        </w:rPr>
        <w:t>2</w:t>
      </w:r>
      <w:r w:rsidR="009E0EBE">
        <w:rPr>
          <w:sz w:val="18"/>
          <w:szCs w:val="18"/>
        </w:rPr>
        <w:t>4</w:t>
      </w:r>
      <w:r w:rsidR="00F15B66" w:rsidRPr="005C4439">
        <w:rPr>
          <w:sz w:val="18"/>
          <w:szCs w:val="18"/>
        </w:rPr>
        <w:t xml:space="preserve">. </w:t>
      </w:r>
      <w:r w:rsidR="009E0EBE">
        <w:rPr>
          <w:sz w:val="18"/>
          <w:szCs w:val="18"/>
        </w:rPr>
        <w:t>September</w:t>
      </w:r>
      <w:r w:rsidR="007F28FE" w:rsidRPr="005C4439">
        <w:rPr>
          <w:sz w:val="18"/>
          <w:szCs w:val="18"/>
        </w:rPr>
        <w:t xml:space="preserve"> </w:t>
      </w:r>
      <w:r w:rsidR="005C4439" w:rsidRPr="005C4439">
        <w:rPr>
          <w:sz w:val="18"/>
          <w:szCs w:val="18"/>
        </w:rPr>
        <w:t>201</w:t>
      </w:r>
      <w:r w:rsidR="009E0EBE">
        <w:rPr>
          <w:sz w:val="18"/>
          <w:szCs w:val="18"/>
        </w:rPr>
        <w:t>9</w:t>
      </w:r>
      <w:r w:rsidRPr="005C4439">
        <w:rPr>
          <w:sz w:val="18"/>
          <w:szCs w:val="18"/>
        </w:rPr>
        <w:t xml:space="preserve"> beschlossene </w:t>
      </w:r>
      <w:r w:rsidR="00703337">
        <w:rPr>
          <w:sz w:val="18"/>
          <w:szCs w:val="18"/>
        </w:rPr>
        <w:t>3</w:t>
      </w:r>
      <w:r w:rsidRPr="005C4439">
        <w:rPr>
          <w:sz w:val="18"/>
          <w:szCs w:val="18"/>
        </w:rPr>
        <w:t>.</w:t>
      </w:r>
      <w:r w:rsidR="009E0EBE">
        <w:rPr>
          <w:sz w:val="18"/>
          <w:szCs w:val="18"/>
        </w:rPr>
        <w:t xml:space="preserve"> Änderung der 4.</w:t>
      </w:r>
      <w:r w:rsidRPr="005C4439">
        <w:rPr>
          <w:sz w:val="18"/>
          <w:szCs w:val="18"/>
        </w:rPr>
        <w:t xml:space="preserve"> Fortschreibung des Flächennutzungsplans </w:t>
      </w:r>
      <w:r w:rsidR="009E0EBE" w:rsidRPr="009E0EBE">
        <w:rPr>
          <w:sz w:val="18"/>
          <w:szCs w:val="18"/>
        </w:rPr>
        <w:t xml:space="preserve">auf </w:t>
      </w:r>
      <w:r w:rsidR="00703337">
        <w:rPr>
          <w:sz w:val="18"/>
          <w:szCs w:val="18"/>
        </w:rPr>
        <w:t xml:space="preserve">dem </w:t>
      </w:r>
      <w:r w:rsidR="009E0EBE" w:rsidRPr="009E0EBE">
        <w:rPr>
          <w:sz w:val="18"/>
          <w:szCs w:val="18"/>
        </w:rPr>
        <w:t xml:space="preserve">Gemeindegebiet </w:t>
      </w:r>
      <w:r w:rsidR="00703337">
        <w:rPr>
          <w:sz w:val="18"/>
          <w:szCs w:val="18"/>
        </w:rPr>
        <w:t>Kupferzell</w:t>
      </w:r>
      <w:r w:rsidR="004E6887">
        <w:rPr>
          <w:sz w:val="18"/>
          <w:szCs w:val="18"/>
        </w:rPr>
        <w:t xml:space="preserve"> </w:t>
      </w:r>
      <w:r w:rsidRPr="005C4439">
        <w:rPr>
          <w:sz w:val="18"/>
          <w:szCs w:val="18"/>
        </w:rPr>
        <w:t>genehmigt.</w:t>
      </w:r>
    </w:p>
    <w:p w:rsidR="0018197C" w:rsidRPr="005C4439" w:rsidRDefault="0018197C">
      <w:pPr>
        <w:rPr>
          <w:sz w:val="18"/>
          <w:szCs w:val="18"/>
        </w:rPr>
      </w:pPr>
    </w:p>
    <w:p w:rsidR="00010271" w:rsidRPr="00010271" w:rsidRDefault="00010271" w:rsidP="002F5A16">
      <w:pPr>
        <w:autoSpaceDE w:val="0"/>
        <w:autoSpaceDN w:val="0"/>
        <w:adjustRightInd w:val="0"/>
        <w:rPr>
          <w:rFonts w:cs="Arial"/>
          <w:sz w:val="18"/>
          <w:szCs w:val="18"/>
        </w:rPr>
      </w:pPr>
      <w:r>
        <w:rPr>
          <w:rFonts w:cs="Arial"/>
          <w:sz w:val="18"/>
          <w:szCs w:val="18"/>
        </w:rPr>
        <w:t>Anlass der</w:t>
      </w:r>
      <w:r w:rsidRPr="00010271">
        <w:rPr>
          <w:rFonts w:cs="Arial"/>
          <w:sz w:val="18"/>
          <w:szCs w:val="18"/>
        </w:rPr>
        <w:t xml:space="preserve"> 3. Änderung der 4. Fortschreibung des FNP </w:t>
      </w:r>
      <w:r>
        <w:rPr>
          <w:rFonts w:cs="Arial"/>
          <w:sz w:val="18"/>
          <w:szCs w:val="18"/>
        </w:rPr>
        <w:t>ist die</w:t>
      </w:r>
      <w:r w:rsidRPr="00010271">
        <w:rPr>
          <w:rFonts w:cs="Arial"/>
          <w:sz w:val="18"/>
          <w:szCs w:val="18"/>
        </w:rPr>
        <w:t xml:space="preserve"> große Nachfrage an Wohnbauflächen, vor a</w:t>
      </w:r>
      <w:r w:rsidR="00DA3086">
        <w:rPr>
          <w:rFonts w:cs="Arial"/>
          <w:sz w:val="18"/>
          <w:szCs w:val="18"/>
        </w:rPr>
        <w:t>llem in der Gemeinde Kupferzell</w:t>
      </w:r>
      <w:r w:rsidRPr="00010271">
        <w:rPr>
          <w:rFonts w:cs="Arial"/>
          <w:sz w:val="18"/>
          <w:szCs w:val="18"/>
        </w:rPr>
        <w:t xml:space="preserve">. </w:t>
      </w:r>
      <w:r w:rsidR="00DA3086">
        <w:rPr>
          <w:rFonts w:cs="Arial"/>
          <w:sz w:val="18"/>
          <w:szCs w:val="18"/>
        </w:rPr>
        <w:t>I</w:t>
      </w:r>
      <w:r w:rsidRPr="00010271">
        <w:rPr>
          <w:rFonts w:cs="Arial"/>
          <w:sz w:val="18"/>
          <w:szCs w:val="18"/>
        </w:rPr>
        <w:t>n der 3. Änderung der 4. Forts</w:t>
      </w:r>
      <w:r w:rsidR="00DA3086">
        <w:rPr>
          <w:rFonts w:cs="Arial"/>
          <w:sz w:val="18"/>
          <w:szCs w:val="18"/>
        </w:rPr>
        <w:t xml:space="preserve">chreibung werden die im Gemeindegebiet </w:t>
      </w:r>
      <w:r w:rsidRPr="00010271">
        <w:rPr>
          <w:rFonts w:cs="Arial"/>
          <w:sz w:val="18"/>
          <w:szCs w:val="18"/>
        </w:rPr>
        <w:t>Kupferzell bereits ausgewiesenen Wohnbauflächen umverteilt, um den derzeitigen Anforderungen und Nachfragen an Wohnbauland gerecht zu werden. Durch die Umverteilung der Wohnbauflächen wird dem städtebaulichen Ziel entsprochen, Siedlungsentwicklungen in zentrumsentfernten Teilorten zurückzunehmen und vermehrt Wohnbauflächen im Zentrum der Gemeinde, folglich in Kupferzell selbst, auszuweisen. Neben der Ausweisung von Wohnbauflächen wird auch eine Gemeinbedarfsfläche für öffentliche Verwaltungen in Kupferzell ausgewiesen, auf der sich das Landratsamt des Hohenlohekreises erweitern möchte.</w:t>
      </w:r>
    </w:p>
    <w:p w:rsidR="00010271" w:rsidRPr="00010271" w:rsidRDefault="00010271" w:rsidP="00010271">
      <w:pPr>
        <w:autoSpaceDE w:val="0"/>
        <w:autoSpaceDN w:val="0"/>
        <w:adjustRightInd w:val="0"/>
        <w:jc w:val="left"/>
        <w:rPr>
          <w:rFonts w:cs="Arial"/>
          <w:sz w:val="18"/>
          <w:szCs w:val="18"/>
        </w:rPr>
      </w:pPr>
    </w:p>
    <w:p w:rsidR="00F15B66" w:rsidRDefault="00010271" w:rsidP="002F5A16">
      <w:pPr>
        <w:autoSpaceDE w:val="0"/>
        <w:autoSpaceDN w:val="0"/>
        <w:adjustRightInd w:val="0"/>
        <w:rPr>
          <w:rFonts w:cs="Arial"/>
          <w:sz w:val="18"/>
          <w:szCs w:val="18"/>
        </w:rPr>
      </w:pPr>
      <w:r w:rsidRPr="00010271">
        <w:rPr>
          <w:rFonts w:cs="Arial"/>
          <w:sz w:val="18"/>
          <w:szCs w:val="18"/>
        </w:rPr>
        <w:t>Die Flächennutzungsplanänderung erstreckt sich auf Flächen des Gemeindegebietes Kupferzell (siehe unten; Abbildung unmaßstäblich), es werden Flächen auf den Gemarkungen Kupferzell, Westernach, Eschental und Feßbach von der Änderung erfasst. Die exakten Flächen können der Planzeichnung der Flächennutzungsplanänderung entnommen werden.</w:t>
      </w:r>
    </w:p>
    <w:p w:rsidR="00DA3086" w:rsidRDefault="00DA3086" w:rsidP="00010271">
      <w:pPr>
        <w:autoSpaceDE w:val="0"/>
        <w:autoSpaceDN w:val="0"/>
        <w:adjustRightInd w:val="0"/>
        <w:jc w:val="left"/>
        <w:rPr>
          <w:rFonts w:cs="Arial"/>
          <w:sz w:val="18"/>
          <w:szCs w:val="18"/>
        </w:rPr>
      </w:pPr>
    </w:p>
    <w:p w:rsidR="005C4439" w:rsidRDefault="000B5754" w:rsidP="005C4439">
      <w:pPr>
        <w:rPr>
          <w:sz w:val="18"/>
          <w:szCs w:val="18"/>
        </w:rPr>
      </w:pPr>
      <w:r>
        <w:rPr>
          <w:noProof/>
        </w:rPr>
        <w:drawing>
          <wp:inline distT="0" distB="0" distL="0" distR="0" wp14:anchorId="29511C9D" wp14:editId="76C8AE0C">
            <wp:extent cx="3708000" cy="35460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08000" cy="3546000"/>
                    </a:xfrm>
                    <a:prstGeom prst="rect">
                      <a:avLst/>
                    </a:prstGeom>
                  </pic:spPr>
                </pic:pic>
              </a:graphicData>
            </a:graphic>
          </wp:inline>
        </w:drawing>
      </w:r>
    </w:p>
    <w:p w:rsidR="00B322E5" w:rsidRPr="005C4439" w:rsidRDefault="00B322E5" w:rsidP="005C4439">
      <w:pPr>
        <w:rPr>
          <w:sz w:val="18"/>
          <w:szCs w:val="18"/>
        </w:rPr>
      </w:pPr>
    </w:p>
    <w:p w:rsidR="006E1E11" w:rsidRDefault="006E1E11" w:rsidP="0012253D">
      <w:pPr>
        <w:autoSpaceDE w:val="0"/>
        <w:autoSpaceDN w:val="0"/>
        <w:adjustRightInd w:val="0"/>
        <w:rPr>
          <w:rFonts w:cs="Arial"/>
          <w:sz w:val="18"/>
          <w:szCs w:val="18"/>
        </w:rPr>
      </w:pPr>
      <w:r>
        <w:rPr>
          <w:rFonts w:cs="Arial"/>
          <w:sz w:val="18"/>
          <w:szCs w:val="18"/>
        </w:rPr>
        <w:t>Die vorst</w:t>
      </w:r>
      <w:r w:rsidR="004F2BDF">
        <w:rPr>
          <w:rFonts w:cs="Arial"/>
          <w:sz w:val="18"/>
          <w:szCs w:val="18"/>
        </w:rPr>
        <w:t>ehende Genehmigung wird gemäß § </w:t>
      </w:r>
      <w:r>
        <w:rPr>
          <w:rFonts w:cs="Arial"/>
          <w:sz w:val="18"/>
          <w:szCs w:val="18"/>
        </w:rPr>
        <w:t>6 A</w:t>
      </w:r>
      <w:r w:rsidR="004F2BDF">
        <w:rPr>
          <w:rFonts w:cs="Arial"/>
          <w:sz w:val="18"/>
          <w:szCs w:val="18"/>
        </w:rPr>
        <w:t>bs. </w:t>
      </w:r>
      <w:r>
        <w:rPr>
          <w:rFonts w:cs="Arial"/>
          <w:sz w:val="18"/>
          <w:szCs w:val="18"/>
        </w:rPr>
        <w:t xml:space="preserve">5 BauGB hiermit bekanntgemacht. Mit dem Tag dieser Bekanntmachung wird die </w:t>
      </w:r>
      <w:r w:rsidR="00703337">
        <w:rPr>
          <w:rFonts w:cs="Arial"/>
          <w:sz w:val="18"/>
          <w:szCs w:val="18"/>
        </w:rPr>
        <w:t>3</w:t>
      </w:r>
      <w:r w:rsidR="009E0EBE">
        <w:rPr>
          <w:rFonts w:cs="Arial"/>
          <w:sz w:val="18"/>
          <w:szCs w:val="18"/>
        </w:rPr>
        <w:t>. Änderung der 4. Fortschreibung</w:t>
      </w:r>
      <w:r w:rsidRPr="005C4439">
        <w:rPr>
          <w:sz w:val="18"/>
          <w:szCs w:val="18"/>
        </w:rPr>
        <w:t xml:space="preserve"> des Flächennutzungsplans </w:t>
      </w:r>
      <w:r w:rsidR="009E0EBE">
        <w:rPr>
          <w:sz w:val="18"/>
          <w:szCs w:val="18"/>
        </w:rPr>
        <w:t xml:space="preserve">GVV Hohenloher Ebene </w:t>
      </w:r>
      <w:r>
        <w:rPr>
          <w:sz w:val="18"/>
          <w:szCs w:val="18"/>
        </w:rPr>
        <w:t>wirksam.</w:t>
      </w:r>
    </w:p>
    <w:p w:rsidR="006E1E11" w:rsidRDefault="006E1E11" w:rsidP="0011223E">
      <w:pPr>
        <w:autoSpaceDE w:val="0"/>
        <w:autoSpaceDN w:val="0"/>
        <w:adjustRightInd w:val="0"/>
        <w:jc w:val="left"/>
        <w:rPr>
          <w:rFonts w:cs="Arial"/>
          <w:sz w:val="18"/>
          <w:szCs w:val="18"/>
        </w:rPr>
      </w:pPr>
    </w:p>
    <w:p w:rsidR="0018197C" w:rsidRDefault="0018197C">
      <w:pPr>
        <w:rPr>
          <w:sz w:val="18"/>
          <w:szCs w:val="18"/>
        </w:rPr>
      </w:pPr>
      <w:r w:rsidRPr="005C4439">
        <w:rPr>
          <w:sz w:val="18"/>
          <w:szCs w:val="18"/>
        </w:rPr>
        <w:t xml:space="preserve">Jedermann kann den Flächennutzungsplan </w:t>
      </w:r>
      <w:r w:rsidR="00F15B66" w:rsidRPr="005C4439">
        <w:rPr>
          <w:sz w:val="18"/>
          <w:szCs w:val="18"/>
        </w:rPr>
        <w:t>mit</w:t>
      </w:r>
      <w:r w:rsidRPr="005C4439">
        <w:rPr>
          <w:sz w:val="18"/>
          <w:szCs w:val="18"/>
        </w:rPr>
        <w:t xml:space="preserve"> </w:t>
      </w:r>
      <w:r w:rsidR="00EC29CC">
        <w:rPr>
          <w:sz w:val="18"/>
          <w:szCs w:val="18"/>
        </w:rPr>
        <w:t>Begründung</w:t>
      </w:r>
      <w:r w:rsidRPr="005C4439">
        <w:rPr>
          <w:sz w:val="18"/>
          <w:szCs w:val="18"/>
        </w:rPr>
        <w:t xml:space="preserve"> </w:t>
      </w:r>
      <w:r w:rsidR="00F15B66" w:rsidRPr="005C4439">
        <w:rPr>
          <w:sz w:val="18"/>
          <w:szCs w:val="18"/>
        </w:rPr>
        <w:t>und die zusammenfassende Erklärung über die Art und Weise, wie die Umweltbelange und die Ergebnisse der Öffentlichkeits- und Behördenbeteiligung in dem Flächennutzungsplan berücksichtigt wurden,</w:t>
      </w:r>
      <w:r w:rsidR="006E1E11">
        <w:rPr>
          <w:sz w:val="18"/>
          <w:szCs w:val="18"/>
        </w:rPr>
        <w:t xml:space="preserve"> und über die Gründe, aus denen der Plan nach Abwägung mit den geprüften, in Betracht kommenden anderweitigen Planungsmöglichkeiten gewählt wurde,</w:t>
      </w:r>
      <w:r w:rsidR="00F15B66" w:rsidRPr="005C4439">
        <w:rPr>
          <w:sz w:val="18"/>
          <w:szCs w:val="18"/>
        </w:rPr>
        <w:t xml:space="preserve"> </w:t>
      </w:r>
      <w:r w:rsidRPr="005C4439">
        <w:rPr>
          <w:sz w:val="18"/>
          <w:szCs w:val="18"/>
        </w:rPr>
        <w:t>einsehen und über deren Inhalt Auskunft verlangen, und zwar</w:t>
      </w:r>
      <w:r w:rsidR="006E1E11">
        <w:rPr>
          <w:sz w:val="18"/>
          <w:szCs w:val="18"/>
        </w:rPr>
        <w:t xml:space="preserve"> während der Dienststunden</w:t>
      </w:r>
      <w:r w:rsidRPr="005C4439">
        <w:rPr>
          <w:sz w:val="18"/>
          <w:szCs w:val="18"/>
        </w:rPr>
        <w:t xml:space="preserve"> bei </w:t>
      </w:r>
    </w:p>
    <w:p w:rsidR="00EC29CC" w:rsidRPr="005C4439" w:rsidRDefault="00EC29CC">
      <w:pPr>
        <w:rPr>
          <w:sz w:val="18"/>
          <w:szCs w:val="18"/>
        </w:rPr>
      </w:pPr>
    </w:p>
    <w:p w:rsidR="0018197C" w:rsidRDefault="006E1E11" w:rsidP="00E26717">
      <w:pPr>
        <w:numPr>
          <w:ilvl w:val="0"/>
          <w:numId w:val="14"/>
        </w:numPr>
        <w:rPr>
          <w:sz w:val="18"/>
          <w:szCs w:val="18"/>
        </w:rPr>
      </w:pPr>
      <w:r>
        <w:rPr>
          <w:sz w:val="18"/>
          <w:szCs w:val="18"/>
        </w:rPr>
        <w:t xml:space="preserve">der </w:t>
      </w:r>
      <w:r w:rsidR="0018197C" w:rsidRPr="005C4439">
        <w:rPr>
          <w:sz w:val="18"/>
          <w:szCs w:val="18"/>
        </w:rPr>
        <w:t>Gemeindeverwaltung Kupferzell, Marktplatz 14-16, 74635 Kupferzell,</w:t>
      </w:r>
    </w:p>
    <w:p w:rsidR="00EC29CC" w:rsidRPr="005C4439" w:rsidRDefault="00EC29CC" w:rsidP="00EC29CC">
      <w:pPr>
        <w:rPr>
          <w:sz w:val="18"/>
          <w:szCs w:val="18"/>
        </w:rPr>
      </w:pPr>
    </w:p>
    <w:p w:rsidR="0018197C" w:rsidRDefault="006E1E11" w:rsidP="00E26717">
      <w:pPr>
        <w:numPr>
          <w:ilvl w:val="0"/>
          <w:numId w:val="14"/>
        </w:numPr>
        <w:rPr>
          <w:sz w:val="18"/>
          <w:szCs w:val="18"/>
        </w:rPr>
      </w:pPr>
      <w:r>
        <w:rPr>
          <w:sz w:val="18"/>
          <w:szCs w:val="18"/>
        </w:rPr>
        <w:t xml:space="preserve">der </w:t>
      </w:r>
      <w:r w:rsidR="0018197C" w:rsidRPr="005C4439">
        <w:rPr>
          <w:sz w:val="18"/>
          <w:szCs w:val="18"/>
        </w:rPr>
        <w:t>Stadtverwaltung Neuenstein, Schloßstraße 20, 74632 Neuenstein,</w:t>
      </w:r>
    </w:p>
    <w:p w:rsidR="00EC29CC" w:rsidRPr="005C4439" w:rsidRDefault="00EC29CC" w:rsidP="00EC29CC">
      <w:pPr>
        <w:rPr>
          <w:sz w:val="18"/>
          <w:szCs w:val="18"/>
        </w:rPr>
      </w:pPr>
    </w:p>
    <w:p w:rsidR="0018197C" w:rsidRPr="005C4439" w:rsidRDefault="00F024E2" w:rsidP="00E26717">
      <w:pPr>
        <w:numPr>
          <w:ilvl w:val="0"/>
          <w:numId w:val="14"/>
        </w:numPr>
        <w:rPr>
          <w:sz w:val="18"/>
          <w:szCs w:val="18"/>
        </w:rPr>
      </w:pPr>
      <w:r>
        <w:rPr>
          <w:sz w:val="18"/>
          <w:szCs w:val="18"/>
        </w:rPr>
        <w:t>der</w:t>
      </w:r>
      <w:r w:rsidRPr="005C4439">
        <w:rPr>
          <w:sz w:val="18"/>
          <w:szCs w:val="18"/>
        </w:rPr>
        <w:t xml:space="preserve"> Stadtverwaltung</w:t>
      </w:r>
      <w:r w:rsidR="0018197C" w:rsidRPr="005C4439">
        <w:rPr>
          <w:sz w:val="18"/>
          <w:szCs w:val="18"/>
        </w:rPr>
        <w:t xml:space="preserve"> Waldenburg, Hauptstraße 13, 74638 Waldenburg.</w:t>
      </w:r>
    </w:p>
    <w:p w:rsidR="00137F8A" w:rsidRPr="005C4439" w:rsidRDefault="00137F8A">
      <w:pPr>
        <w:rPr>
          <w:sz w:val="18"/>
          <w:szCs w:val="18"/>
        </w:rPr>
      </w:pPr>
    </w:p>
    <w:p w:rsidR="006E1E11" w:rsidRPr="00E26717" w:rsidRDefault="006E1E11">
      <w:pPr>
        <w:rPr>
          <w:sz w:val="18"/>
          <w:szCs w:val="18"/>
          <w:u w:val="single"/>
        </w:rPr>
      </w:pPr>
      <w:r w:rsidRPr="00996C3F">
        <w:rPr>
          <w:sz w:val="18"/>
          <w:szCs w:val="18"/>
          <w:u w:val="single"/>
        </w:rPr>
        <w:t xml:space="preserve">Gemäß § 215 Abs. 2 BauGB wird auf Folgendes </w:t>
      </w:r>
      <w:r w:rsidR="00F024E2" w:rsidRPr="00996C3F">
        <w:rPr>
          <w:sz w:val="18"/>
          <w:szCs w:val="18"/>
          <w:u w:val="single"/>
        </w:rPr>
        <w:t>hingewiesen:</w:t>
      </w:r>
    </w:p>
    <w:p w:rsidR="006E1E11" w:rsidRDefault="006E1E11">
      <w:pPr>
        <w:rPr>
          <w:sz w:val="18"/>
          <w:szCs w:val="18"/>
        </w:rPr>
      </w:pPr>
    </w:p>
    <w:p w:rsidR="008D49A7" w:rsidRDefault="008D49A7">
      <w:pPr>
        <w:rPr>
          <w:sz w:val="18"/>
          <w:szCs w:val="18"/>
        </w:rPr>
      </w:pPr>
      <w:r>
        <w:rPr>
          <w:sz w:val="18"/>
          <w:szCs w:val="18"/>
        </w:rPr>
        <w:t xml:space="preserve">Gemäß </w:t>
      </w:r>
      <w:r w:rsidR="00996C3F">
        <w:rPr>
          <w:sz w:val="18"/>
          <w:szCs w:val="18"/>
        </w:rPr>
        <w:t>§</w:t>
      </w:r>
      <w:r>
        <w:rPr>
          <w:sz w:val="18"/>
          <w:szCs w:val="18"/>
        </w:rPr>
        <w:t xml:space="preserve"> 215 Abs. 1 BauGB werden unbeachtlich</w:t>
      </w:r>
    </w:p>
    <w:p w:rsidR="008D49A7" w:rsidRPr="008A7B42" w:rsidRDefault="008A7B42" w:rsidP="008A7B42">
      <w:pPr>
        <w:numPr>
          <w:ilvl w:val="0"/>
          <w:numId w:val="15"/>
        </w:numPr>
        <w:rPr>
          <w:sz w:val="18"/>
          <w:szCs w:val="18"/>
        </w:rPr>
      </w:pPr>
      <w:r w:rsidRPr="008A7B42">
        <w:rPr>
          <w:sz w:val="18"/>
          <w:szCs w:val="18"/>
        </w:rPr>
        <w:t>eine nach § 214 Absatz 1 Satz 1 Nummer 1 bis 3 beachtliche Verletzung der dort bezeichneten Verfahrens</w:t>
      </w:r>
      <w:r>
        <w:rPr>
          <w:sz w:val="18"/>
          <w:szCs w:val="18"/>
        </w:rPr>
        <w:t xml:space="preserve">- </w:t>
      </w:r>
      <w:r w:rsidRPr="008A7B42">
        <w:rPr>
          <w:sz w:val="18"/>
          <w:szCs w:val="18"/>
        </w:rPr>
        <w:t>und</w:t>
      </w:r>
      <w:r>
        <w:rPr>
          <w:sz w:val="18"/>
          <w:szCs w:val="18"/>
        </w:rPr>
        <w:t xml:space="preserve"> </w:t>
      </w:r>
      <w:r w:rsidRPr="008A7B42">
        <w:rPr>
          <w:sz w:val="18"/>
          <w:szCs w:val="18"/>
        </w:rPr>
        <w:t>Formvorschriften</w:t>
      </w:r>
      <w:r w:rsidR="008D49A7" w:rsidRPr="008A7B42">
        <w:rPr>
          <w:sz w:val="18"/>
          <w:szCs w:val="18"/>
        </w:rPr>
        <w:t>,</w:t>
      </w:r>
    </w:p>
    <w:p w:rsidR="008D49A7" w:rsidRPr="008A7B42" w:rsidRDefault="008A7B42" w:rsidP="008A7B42">
      <w:pPr>
        <w:numPr>
          <w:ilvl w:val="0"/>
          <w:numId w:val="15"/>
        </w:numPr>
        <w:rPr>
          <w:sz w:val="18"/>
          <w:szCs w:val="18"/>
        </w:rPr>
      </w:pPr>
      <w:r w:rsidRPr="008A7B42">
        <w:rPr>
          <w:sz w:val="18"/>
          <w:szCs w:val="18"/>
        </w:rPr>
        <w:t>eine unter Berücksichtigung des § 214 Absatz 2 beachtliche Verletzung der Vorschriften über das Verhältnis</w:t>
      </w:r>
      <w:r>
        <w:rPr>
          <w:sz w:val="18"/>
          <w:szCs w:val="18"/>
        </w:rPr>
        <w:t xml:space="preserve"> </w:t>
      </w:r>
      <w:r w:rsidRPr="008A7B42">
        <w:rPr>
          <w:sz w:val="18"/>
          <w:szCs w:val="18"/>
        </w:rPr>
        <w:t>des Bebauungsplans und des Flächennutzungsplans und</w:t>
      </w:r>
    </w:p>
    <w:p w:rsidR="008D49A7" w:rsidRDefault="008A7B42" w:rsidP="008A7B42">
      <w:pPr>
        <w:numPr>
          <w:ilvl w:val="0"/>
          <w:numId w:val="15"/>
        </w:numPr>
        <w:rPr>
          <w:sz w:val="18"/>
          <w:szCs w:val="18"/>
        </w:rPr>
      </w:pPr>
      <w:r w:rsidRPr="008A7B42">
        <w:rPr>
          <w:sz w:val="18"/>
          <w:szCs w:val="18"/>
        </w:rPr>
        <w:t>nach § 214 Absatz 3 Satz 2 beachtliche Mängel des Abwägungsvorgangs</w:t>
      </w:r>
      <w:r w:rsidR="008D49A7">
        <w:rPr>
          <w:sz w:val="18"/>
          <w:szCs w:val="18"/>
        </w:rPr>
        <w:t>,</w:t>
      </w:r>
    </w:p>
    <w:p w:rsidR="008A7B42" w:rsidRPr="008A7B42" w:rsidRDefault="008A7B42" w:rsidP="008A7B42">
      <w:pPr>
        <w:rPr>
          <w:sz w:val="18"/>
          <w:szCs w:val="18"/>
        </w:rPr>
      </w:pPr>
      <w:r w:rsidRPr="008A7B42">
        <w:rPr>
          <w:sz w:val="18"/>
          <w:szCs w:val="18"/>
        </w:rPr>
        <w:t>wenn sie nicht innerhalb eines Jahres seit Bekanntmachung des Flächennutzungsplans oder der Satzung</w:t>
      </w:r>
    </w:p>
    <w:p w:rsidR="008A7B42" w:rsidRPr="008A7B42" w:rsidRDefault="008A7B42" w:rsidP="008A7B42">
      <w:pPr>
        <w:rPr>
          <w:sz w:val="18"/>
          <w:szCs w:val="18"/>
        </w:rPr>
      </w:pPr>
      <w:r w:rsidRPr="008A7B42">
        <w:rPr>
          <w:sz w:val="18"/>
          <w:szCs w:val="18"/>
        </w:rPr>
        <w:t>schriftlich gegenüber der Gemeinde unter Darlegung des die Verletzung begründenden Sachverhalts geltend</w:t>
      </w:r>
    </w:p>
    <w:p w:rsidR="008D49A7" w:rsidRDefault="008A7B42" w:rsidP="008A7B42">
      <w:pPr>
        <w:rPr>
          <w:sz w:val="18"/>
          <w:szCs w:val="18"/>
        </w:rPr>
      </w:pPr>
      <w:r w:rsidRPr="008A7B42">
        <w:rPr>
          <w:sz w:val="18"/>
          <w:szCs w:val="18"/>
        </w:rPr>
        <w:t>gemacht worden sind. Satz 1 gilt entsprechend, wenn Fehler nach § 214 Absatz 2a beachtlich sind</w:t>
      </w:r>
      <w:r w:rsidR="008D49A7">
        <w:rPr>
          <w:sz w:val="18"/>
          <w:szCs w:val="18"/>
        </w:rPr>
        <w:t xml:space="preserve">. </w:t>
      </w:r>
    </w:p>
    <w:p w:rsidR="008D49A7" w:rsidRDefault="008D49A7">
      <w:pPr>
        <w:rPr>
          <w:sz w:val="18"/>
          <w:szCs w:val="18"/>
        </w:rPr>
      </w:pPr>
    </w:p>
    <w:p w:rsidR="0018197C" w:rsidRPr="00A94B08" w:rsidRDefault="008D49A7">
      <w:pPr>
        <w:rPr>
          <w:sz w:val="18"/>
          <w:szCs w:val="18"/>
          <w:u w:val="single"/>
        </w:rPr>
      </w:pPr>
      <w:r w:rsidRPr="00A94B08">
        <w:rPr>
          <w:sz w:val="18"/>
          <w:szCs w:val="18"/>
          <w:u w:val="single"/>
        </w:rPr>
        <w:t xml:space="preserve">In </w:t>
      </w:r>
      <w:r w:rsidR="0018197C" w:rsidRPr="00A94B08">
        <w:rPr>
          <w:sz w:val="18"/>
          <w:szCs w:val="18"/>
          <w:u w:val="single"/>
        </w:rPr>
        <w:t>§ 214</w:t>
      </w:r>
      <w:r w:rsidRPr="00A94B08">
        <w:rPr>
          <w:sz w:val="18"/>
          <w:szCs w:val="18"/>
          <w:u w:val="single"/>
        </w:rPr>
        <w:t xml:space="preserve"> Abs. 1, 2 und 3</w:t>
      </w:r>
      <w:r w:rsidR="0018197C" w:rsidRPr="00A94B08">
        <w:rPr>
          <w:sz w:val="18"/>
          <w:szCs w:val="18"/>
          <w:u w:val="single"/>
        </w:rPr>
        <w:t xml:space="preserve"> BauGB </w:t>
      </w:r>
      <w:r w:rsidRPr="00A94B08">
        <w:rPr>
          <w:sz w:val="18"/>
          <w:szCs w:val="18"/>
          <w:u w:val="single"/>
        </w:rPr>
        <w:t>ist Folgendes geregelt:</w:t>
      </w:r>
    </w:p>
    <w:p w:rsidR="008D49A7" w:rsidRPr="005C4439" w:rsidRDefault="008D49A7">
      <w:pPr>
        <w:rPr>
          <w:sz w:val="18"/>
          <w:szCs w:val="18"/>
        </w:rPr>
      </w:pPr>
    </w:p>
    <w:p w:rsidR="00996C3F" w:rsidRPr="00E26717" w:rsidRDefault="00996C3F" w:rsidP="00996C3F">
      <w:pPr>
        <w:jc w:val="left"/>
        <w:rPr>
          <w:rFonts w:cs="Arial"/>
          <w:sz w:val="18"/>
          <w:szCs w:val="18"/>
        </w:rPr>
      </w:pPr>
      <w:r w:rsidRPr="00E26717">
        <w:rPr>
          <w:rFonts w:cs="Arial"/>
          <w:sz w:val="18"/>
          <w:szCs w:val="18"/>
        </w:rPr>
        <w:t xml:space="preserve">„(1) Eine Verletzung von Verfahrens- und Formvorschriften dieses Gesetzbuchs ist für die Rechtswirksamkeit des Flächennutzungsplans und der Satzungen nach diesem Gesetzbuch nur beachtlich, wenn </w:t>
      </w:r>
    </w:p>
    <w:p w:rsidR="00996C3F" w:rsidRPr="00E26717" w:rsidRDefault="00996C3F" w:rsidP="00996C3F">
      <w:pPr>
        <w:jc w:val="left"/>
        <w:rPr>
          <w:rFonts w:cs="Arial"/>
          <w:sz w:val="18"/>
          <w:szCs w:val="18"/>
        </w:rPr>
      </w:pPr>
    </w:p>
    <w:p w:rsidR="00996C3F" w:rsidRPr="008A7B42" w:rsidRDefault="008A7B42" w:rsidP="008A7B42">
      <w:pPr>
        <w:pStyle w:val="Listenabsatz"/>
        <w:numPr>
          <w:ilvl w:val="0"/>
          <w:numId w:val="17"/>
        </w:numPr>
        <w:jc w:val="left"/>
        <w:rPr>
          <w:rFonts w:cs="Arial"/>
          <w:sz w:val="18"/>
          <w:szCs w:val="18"/>
        </w:rPr>
      </w:pPr>
      <w:r w:rsidRPr="008A7B42">
        <w:rPr>
          <w:rFonts w:cs="Arial"/>
          <w:sz w:val="18"/>
          <w:szCs w:val="18"/>
        </w:rPr>
        <w:t>entgegen § 2 Absatz 3 die von der Planung berührten Belange, die der Gemeinde bekannt waren oder hätten bekannt sein müssen, in wesentlichen Punkten nicht zutreffend ermittelt oder bewertet worden sind und wenn der Mangel offensichtlich und auf das Ergebnis des Verfahrens von Einfluss gewesen ist</w:t>
      </w:r>
      <w:r w:rsidR="00996C3F" w:rsidRPr="008A7B42">
        <w:rPr>
          <w:rFonts w:cs="Arial"/>
          <w:sz w:val="18"/>
          <w:szCs w:val="18"/>
        </w:rPr>
        <w:t>;</w:t>
      </w:r>
    </w:p>
    <w:p w:rsidR="00996C3F" w:rsidRPr="00FC4D4F" w:rsidRDefault="008A7B42" w:rsidP="00FC4D4F">
      <w:pPr>
        <w:pStyle w:val="Listenabsatz"/>
        <w:numPr>
          <w:ilvl w:val="0"/>
          <w:numId w:val="17"/>
        </w:numPr>
        <w:jc w:val="left"/>
        <w:rPr>
          <w:rFonts w:cs="Arial"/>
          <w:sz w:val="18"/>
          <w:szCs w:val="18"/>
        </w:rPr>
      </w:pPr>
      <w:r w:rsidRPr="00FC4D4F">
        <w:rPr>
          <w:rFonts w:cs="Arial"/>
          <w:sz w:val="18"/>
          <w:szCs w:val="18"/>
        </w:rPr>
        <w:t>die Vorschriften über die Öffentlichkeits- und Behördenbeteiligung nach § 3 Absatz 2, § 4 Absatz 2, § 4a Absatz 3, Absatz 4 Satz 1 und Absatz 5 Satz 2, nach § 13 Absatz 2 Satz 1 Nummer 2 und 3, auch in Verbindung mit § 13a Absatz 2 Nummer 1 und § 13b, nach § 22 Absatz 9 Satz 2, § 34 Absatz 6 Satz 1 sowie § 35 Absatz 6 Satz 5 verletzt worden sind; dabei ist unbeachtlich</w:t>
      </w:r>
      <w:r w:rsidR="00996C3F" w:rsidRPr="00FC4D4F">
        <w:rPr>
          <w:rFonts w:cs="Arial"/>
          <w:sz w:val="18"/>
          <w:szCs w:val="18"/>
        </w:rPr>
        <w:t xml:space="preserve">, wenn </w:t>
      </w:r>
    </w:p>
    <w:p w:rsidR="00996C3F" w:rsidRPr="00E26717" w:rsidRDefault="00996C3F" w:rsidP="00996C3F">
      <w:pPr>
        <w:ind w:left="720"/>
        <w:jc w:val="left"/>
        <w:rPr>
          <w:rFonts w:cs="Arial"/>
          <w:sz w:val="18"/>
          <w:szCs w:val="18"/>
        </w:rPr>
      </w:pPr>
    </w:p>
    <w:p w:rsidR="008A7B42" w:rsidRPr="008A7B42" w:rsidRDefault="008A7B42" w:rsidP="008A7B42">
      <w:pPr>
        <w:pStyle w:val="Listenabsatz"/>
        <w:numPr>
          <w:ilvl w:val="0"/>
          <w:numId w:val="18"/>
        </w:numPr>
        <w:jc w:val="left"/>
        <w:rPr>
          <w:rFonts w:cs="Arial"/>
          <w:sz w:val="18"/>
          <w:szCs w:val="18"/>
        </w:rPr>
      </w:pPr>
      <w:r w:rsidRPr="008A7B42">
        <w:rPr>
          <w:rFonts w:cs="Arial"/>
          <w:sz w:val="18"/>
          <w:szCs w:val="18"/>
        </w:rPr>
        <w:t>bei Anwendung der Vorschriften einzelne Personen, Behörden oder sonstige Träger öffentlicher Belange nicht beteiligt worden sind, die entsprechenden Belange jedoch unerheblich waren oder in der Entscheidung berücksichtigt worden sind,</w:t>
      </w:r>
    </w:p>
    <w:p w:rsidR="008A7B42" w:rsidRDefault="008A7B42" w:rsidP="008A7B42">
      <w:pPr>
        <w:pStyle w:val="Listenabsatz"/>
        <w:numPr>
          <w:ilvl w:val="0"/>
          <w:numId w:val="18"/>
        </w:numPr>
        <w:jc w:val="left"/>
        <w:rPr>
          <w:rFonts w:cs="Arial"/>
          <w:sz w:val="18"/>
          <w:szCs w:val="18"/>
        </w:rPr>
      </w:pPr>
      <w:r w:rsidRPr="008A7B42">
        <w:rPr>
          <w:rFonts w:cs="Arial"/>
          <w:sz w:val="18"/>
          <w:szCs w:val="18"/>
        </w:rPr>
        <w:t>einzelne Angaben dazu, welche Arten umweltbezogener Informationen verfügbar sind, gefehlt haben,</w:t>
      </w:r>
    </w:p>
    <w:p w:rsidR="008A7B42" w:rsidRDefault="008A7B42" w:rsidP="008A7B42">
      <w:pPr>
        <w:pStyle w:val="Listenabsatz"/>
        <w:numPr>
          <w:ilvl w:val="0"/>
          <w:numId w:val="18"/>
        </w:numPr>
        <w:jc w:val="left"/>
        <w:rPr>
          <w:rFonts w:cs="Arial"/>
          <w:sz w:val="18"/>
          <w:szCs w:val="18"/>
        </w:rPr>
      </w:pPr>
      <w:r w:rsidRPr="008A7B42">
        <w:rPr>
          <w:rFonts w:cs="Arial"/>
          <w:sz w:val="18"/>
          <w:szCs w:val="18"/>
        </w:rPr>
        <w:t>(weggefallen)</w:t>
      </w:r>
    </w:p>
    <w:p w:rsidR="008A7B42" w:rsidRDefault="008A7B42" w:rsidP="008A7B42">
      <w:pPr>
        <w:pStyle w:val="Listenabsatz"/>
        <w:numPr>
          <w:ilvl w:val="0"/>
          <w:numId w:val="18"/>
        </w:numPr>
        <w:jc w:val="left"/>
        <w:rPr>
          <w:rFonts w:cs="Arial"/>
          <w:sz w:val="18"/>
          <w:szCs w:val="18"/>
        </w:rPr>
      </w:pPr>
      <w:r w:rsidRPr="008A7B42">
        <w:rPr>
          <w:rFonts w:cs="Arial"/>
          <w:sz w:val="18"/>
          <w:szCs w:val="18"/>
        </w:rPr>
        <w:t>bei Vorliegen eines wichtigen Grundes nach § 3 Absatz 2 Satz 1 nicht für die Dauer einer</w:t>
      </w:r>
      <w:r>
        <w:rPr>
          <w:rFonts w:cs="Arial"/>
          <w:sz w:val="18"/>
          <w:szCs w:val="18"/>
        </w:rPr>
        <w:t xml:space="preserve"> </w:t>
      </w:r>
      <w:r w:rsidRPr="008A7B42">
        <w:rPr>
          <w:rFonts w:cs="Arial"/>
          <w:sz w:val="18"/>
          <w:szCs w:val="18"/>
        </w:rPr>
        <w:t>angemessenen längeren Frist ausgelegt worden ist und die Begründung für die Annahme des</w:t>
      </w:r>
      <w:r>
        <w:rPr>
          <w:rFonts w:cs="Arial"/>
          <w:sz w:val="18"/>
          <w:szCs w:val="18"/>
        </w:rPr>
        <w:t xml:space="preserve"> </w:t>
      </w:r>
      <w:r w:rsidRPr="008A7B42">
        <w:rPr>
          <w:rFonts w:cs="Arial"/>
          <w:sz w:val="18"/>
          <w:szCs w:val="18"/>
        </w:rPr>
        <w:t>Nichtvorliegens eines wichtigen Grundes nachvollziehbar ist,</w:t>
      </w:r>
    </w:p>
    <w:p w:rsidR="008A7B42" w:rsidRDefault="008A7B42" w:rsidP="008A7B42">
      <w:pPr>
        <w:pStyle w:val="Listenabsatz"/>
        <w:numPr>
          <w:ilvl w:val="0"/>
          <w:numId w:val="18"/>
        </w:numPr>
        <w:jc w:val="left"/>
        <w:rPr>
          <w:rFonts w:cs="Arial"/>
          <w:sz w:val="18"/>
          <w:szCs w:val="18"/>
        </w:rPr>
      </w:pPr>
      <w:r w:rsidRPr="008A7B42">
        <w:rPr>
          <w:rFonts w:cs="Arial"/>
          <w:sz w:val="18"/>
          <w:szCs w:val="18"/>
        </w:rPr>
        <w:t>bei Anwendung des § 4a Absatz 4 Satz 1 der Inhalt der Beka</w:t>
      </w:r>
      <w:r>
        <w:rPr>
          <w:rFonts w:cs="Arial"/>
          <w:sz w:val="18"/>
          <w:szCs w:val="18"/>
        </w:rPr>
        <w:t xml:space="preserve">nntmachung und die auszulegenden </w:t>
      </w:r>
      <w:r w:rsidRPr="008A7B42">
        <w:rPr>
          <w:rFonts w:cs="Arial"/>
          <w:sz w:val="18"/>
          <w:szCs w:val="18"/>
        </w:rPr>
        <w:t>Unterlagen zwar in das Internet eingestellt, aber nicht über das zentrale Internetportal des Landes</w:t>
      </w:r>
      <w:r>
        <w:rPr>
          <w:rFonts w:cs="Arial"/>
          <w:sz w:val="18"/>
          <w:szCs w:val="18"/>
        </w:rPr>
        <w:t xml:space="preserve"> </w:t>
      </w:r>
      <w:r w:rsidRPr="008A7B42">
        <w:rPr>
          <w:rFonts w:cs="Arial"/>
          <w:sz w:val="18"/>
          <w:szCs w:val="18"/>
        </w:rPr>
        <w:t>zugänglich sind,</w:t>
      </w:r>
    </w:p>
    <w:p w:rsidR="008A7B42" w:rsidRDefault="008A7B42" w:rsidP="008A7B42">
      <w:pPr>
        <w:pStyle w:val="Listenabsatz"/>
        <w:numPr>
          <w:ilvl w:val="0"/>
          <w:numId w:val="18"/>
        </w:numPr>
        <w:jc w:val="left"/>
        <w:rPr>
          <w:rFonts w:cs="Arial"/>
          <w:sz w:val="18"/>
          <w:szCs w:val="18"/>
        </w:rPr>
      </w:pPr>
      <w:r w:rsidRPr="008A7B42">
        <w:rPr>
          <w:rFonts w:cs="Arial"/>
          <w:sz w:val="18"/>
          <w:szCs w:val="18"/>
        </w:rPr>
        <w:t>bei Anwendung des § 13 Absatz 3 Satz 2 die Angabe darüber, dass von einer Umweltprüfung</w:t>
      </w:r>
      <w:r>
        <w:rPr>
          <w:rFonts w:cs="Arial"/>
          <w:sz w:val="18"/>
          <w:szCs w:val="18"/>
        </w:rPr>
        <w:t xml:space="preserve"> </w:t>
      </w:r>
      <w:r w:rsidRPr="008A7B42">
        <w:rPr>
          <w:rFonts w:cs="Arial"/>
          <w:sz w:val="18"/>
          <w:szCs w:val="18"/>
        </w:rPr>
        <w:t>abgesehen wird, unterlassen wurde oder</w:t>
      </w:r>
    </w:p>
    <w:p w:rsidR="00996C3F" w:rsidRDefault="008A7B42" w:rsidP="008A7B42">
      <w:pPr>
        <w:pStyle w:val="Listenabsatz"/>
        <w:numPr>
          <w:ilvl w:val="0"/>
          <w:numId w:val="18"/>
        </w:numPr>
        <w:spacing w:after="240"/>
        <w:jc w:val="left"/>
        <w:rPr>
          <w:rFonts w:cs="Arial"/>
          <w:sz w:val="18"/>
          <w:szCs w:val="18"/>
        </w:rPr>
      </w:pPr>
      <w:r w:rsidRPr="008A7B42">
        <w:rPr>
          <w:rFonts w:cs="Arial"/>
          <w:sz w:val="18"/>
          <w:szCs w:val="18"/>
        </w:rPr>
        <w:t>bei Anwendung des § 4a Absatz 3 Satz 4 oder des § 13, auch in Verbindung mit § 13a Absatz 2</w:t>
      </w:r>
      <w:r>
        <w:rPr>
          <w:rFonts w:cs="Arial"/>
          <w:sz w:val="18"/>
          <w:szCs w:val="18"/>
        </w:rPr>
        <w:t xml:space="preserve"> </w:t>
      </w:r>
      <w:r w:rsidRPr="008A7B42">
        <w:rPr>
          <w:rFonts w:cs="Arial"/>
          <w:sz w:val="18"/>
          <w:szCs w:val="18"/>
        </w:rPr>
        <w:t>Nummer 1 und § 13b, die Voraussetzungen für die Durchführung der Beteiligung nach diesen</w:t>
      </w:r>
      <w:r>
        <w:rPr>
          <w:rFonts w:cs="Arial"/>
          <w:sz w:val="18"/>
          <w:szCs w:val="18"/>
        </w:rPr>
        <w:t xml:space="preserve"> </w:t>
      </w:r>
      <w:r w:rsidRPr="008A7B42">
        <w:rPr>
          <w:rFonts w:cs="Arial"/>
          <w:sz w:val="18"/>
          <w:szCs w:val="18"/>
        </w:rPr>
        <w:t>Vorschriften verkannt worden sind</w:t>
      </w:r>
      <w:r w:rsidR="00996C3F" w:rsidRPr="008A7B42">
        <w:rPr>
          <w:rFonts w:cs="Arial"/>
          <w:sz w:val="18"/>
          <w:szCs w:val="18"/>
        </w:rPr>
        <w:t>;</w:t>
      </w:r>
    </w:p>
    <w:p w:rsidR="00FC4D4F" w:rsidRPr="008A7B42" w:rsidRDefault="00FC4D4F" w:rsidP="00FC4D4F">
      <w:pPr>
        <w:pStyle w:val="Listenabsatz"/>
        <w:spacing w:after="240"/>
        <w:ind w:left="1440"/>
        <w:jc w:val="left"/>
        <w:rPr>
          <w:rFonts w:cs="Arial"/>
          <w:sz w:val="18"/>
          <w:szCs w:val="18"/>
        </w:rPr>
      </w:pPr>
    </w:p>
    <w:p w:rsidR="00996C3F" w:rsidRPr="008A7B42" w:rsidRDefault="008A7B42" w:rsidP="00FC4D4F">
      <w:pPr>
        <w:pStyle w:val="Listenabsatz"/>
        <w:numPr>
          <w:ilvl w:val="0"/>
          <w:numId w:val="20"/>
        </w:numPr>
        <w:jc w:val="left"/>
        <w:rPr>
          <w:rFonts w:cs="Arial"/>
          <w:sz w:val="18"/>
          <w:szCs w:val="18"/>
        </w:rPr>
      </w:pPr>
      <w:r w:rsidRPr="008A7B42">
        <w:rPr>
          <w:rFonts w:cs="Arial"/>
          <w:sz w:val="18"/>
          <w:szCs w:val="18"/>
        </w:rPr>
        <w:t>die Vorschriften über die Begründung des Flächennutzungsplans und der Satzungen sowie ihrer Entwürfe nach §§ 2a, 3 Absatz 2, § 5 Absatz 1 Satz 2 Halbsatz 2 und Absatz 5, § 9 Absatz 8 und § 22 Absatz 10 verletzt worden sind; dabei ist unbeachtlich, wenn die Begründung des Flächennutzungsplans oder der Satzung oder ihr Entwurf unvollständig ist; abweichend von Halbsatz 2 ist eine Verletzung von Vorschriften in Bezug auf den Umweltbericht unbeachtlich, wenn die Begründung hierzu nur in unwesentlichen Punkten unvollständig ist</w:t>
      </w:r>
      <w:r w:rsidR="00996C3F" w:rsidRPr="008A7B42">
        <w:rPr>
          <w:rFonts w:cs="Arial"/>
          <w:sz w:val="18"/>
          <w:szCs w:val="18"/>
        </w:rPr>
        <w:t>;</w:t>
      </w:r>
    </w:p>
    <w:p w:rsidR="00996C3F" w:rsidRPr="00FC4D4F" w:rsidRDefault="00FC4D4F" w:rsidP="00FC4D4F">
      <w:pPr>
        <w:numPr>
          <w:ilvl w:val="0"/>
          <w:numId w:val="20"/>
        </w:numPr>
        <w:jc w:val="left"/>
        <w:rPr>
          <w:rFonts w:cs="Arial"/>
          <w:sz w:val="18"/>
          <w:szCs w:val="18"/>
        </w:rPr>
      </w:pPr>
      <w:r w:rsidRPr="00FC4D4F">
        <w:rPr>
          <w:rFonts w:cs="Arial"/>
          <w:sz w:val="18"/>
          <w:szCs w:val="18"/>
        </w:rPr>
        <w:t>ein Beschluss der Gemeinde über den Flächennutzungsplan oder die Satzung nicht gefasst, eine</w:t>
      </w:r>
      <w:r>
        <w:rPr>
          <w:rFonts w:cs="Arial"/>
          <w:sz w:val="18"/>
          <w:szCs w:val="18"/>
        </w:rPr>
        <w:t xml:space="preserve"> </w:t>
      </w:r>
      <w:r w:rsidRPr="00FC4D4F">
        <w:rPr>
          <w:rFonts w:cs="Arial"/>
          <w:sz w:val="18"/>
          <w:szCs w:val="18"/>
        </w:rPr>
        <w:t>Genehmigung nicht erteilt oder der mit der Bekanntmachung des Flächennutzungsplans oder der Satzung</w:t>
      </w:r>
      <w:r>
        <w:rPr>
          <w:rFonts w:cs="Arial"/>
          <w:sz w:val="18"/>
          <w:szCs w:val="18"/>
        </w:rPr>
        <w:t xml:space="preserve"> </w:t>
      </w:r>
      <w:r w:rsidRPr="00FC4D4F">
        <w:rPr>
          <w:rFonts w:cs="Arial"/>
          <w:sz w:val="18"/>
          <w:szCs w:val="18"/>
        </w:rPr>
        <w:t>verfolgte Hinweiszweck nicht erreicht worden ist</w:t>
      </w:r>
      <w:r w:rsidR="00996C3F" w:rsidRPr="00FC4D4F">
        <w:rPr>
          <w:rFonts w:cs="Arial"/>
          <w:sz w:val="18"/>
          <w:szCs w:val="18"/>
        </w:rPr>
        <w:t>.</w:t>
      </w:r>
    </w:p>
    <w:p w:rsidR="00E26717" w:rsidRDefault="00E26717" w:rsidP="00996C3F">
      <w:pPr>
        <w:jc w:val="left"/>
        <w:rPr>
          <w:rFonts w:cs="Arial"/>
          <w:sz w:val="18"/>
          <w:szCs w:val="18"/>
        </w:rPr>
      </w:pPr>
    </w:p>
    <w:p w:rsidR="00FC4D4F" w:rsidRPr="00FC4D4F" w:rsidRDefault="00FC4D4F" w:rsidP="00FC4D4F">
      <w:pPr>
        <w:jc w:val="left"/>
        <w:rPr>
          <w:rFonts w:cs="Arial"/>
          <w:sz w:val="18"/>
          <w:szCs w:val="18"/>
        </w:rPr>
      </w:pPr>
      <w:r w:rsidRPr="00FC4D4F">
        <w:rPr>
          <w:rFonts w:cs="Arial"/>
          <w:sz w:val="18"/>
          <w:szCs w:val="18"/>
        </w:rPr>
        <w:t>Soweit in den Fällen des Satzes 1 Nummer 3 die Begründung in wesentlichen Punkten unvollständig ist, hat die</w:t>
      </w:r>
    </w:p>
    <w:p w:rsidR="00996C3F" w:rsidRPr="00E26717" w:rsidRDefault="00FC4D4F" w:rsidP="00FC4D4F">
      <w:pPr>
        <w:jc w:val="left"/>
        <w:rPr>
          <w:rFonts w:cs="Arial"/>
          <w:sz w:val="18"/>
          <w:szCs w:val="18"/>
        </w:rPr>
      </w:pPr>
      <w:r w:rsidRPr="00FC4D4F">
        <w:rPr>
          <w:rFonts w:cs="Arial"/>
          <w:sz w:val="18"/>
          <w:szCs w:val="18"/>
        </w:rPr>
        <w:t>Gemeinde auf Verlangen Auskunft zu erteilen, wenn ein berechtigtes Interesse dargelegt wird</w:t>
      </w:r>
      <w:r w:rsidR="00996C3F" w:rsidRPr="00E26717">
        <w:rPr>
          <w:rFonts w:cs="Arial"/>
          <w:sz w:val="18"/>
          <w:szCs w:val="18"/>
        </w:rPr>
        <w:t>.</w:t>
      </w:r>
    </w:p>
    <w:p w:rsidR="00996C3F" w:rsidRDefault="00996C3F" w:rsidP="00996C3F">
      <w:pPr>
        <w:jc w:val="left"/>
        <w:rPr>
          <w:rFonts w:cs="Arial"/>
          <w:sz w:val="18"/>
          <w:szCs w:val="18"/>
        </w:rPr>
      </w:pPr>
    </w:p>
    <w:p w:rsidR="00996C3F" w:rsidRPr="00E26717" w:rsidRDefault="00996C3F" w:rsidP="00996C3F">
      <w:pPr>
        <w:jc w:val="left"/>
        <w:rPr>
          <w:rFonts w:cs="Arial"/>
          <w:sz w:val="18"/>
          <w:szCs w:val="18"/>
        </w:rPr>
      </w:pPr>
      <w:r w:rsidRPr="00E26717">
        <w:rPr>
          <w:rFonts w:cs="Arial"/>
          <w:sz w:val="18"/>
          <w:szCs w:val="18"/>
        </w:rPr>
        <w:t xml:space="preserve">(2) Für die Rechtswirksamkeit der Bauleitpläne ist auch unbeachtlich, wenn </w:t>
      </w:r>
    </w:p>
    <w:p w:rsidR="00996C3F" w:rsidRPr="00E26717" w:rsidRDefault="00996C3F" w:rsidP="00996C3F">
      <w:pPr>
        <w:jc w:val="left"/>
        <w:rPr>
          <w:rFonts w:cs="Arial"/>
          <w:sz w:val="18"/>
          <w:szCs w:val="18"/>
        </w:rPr>
      </w:pPr>
    </w:p>
    <w:p w:rsidR="00996C3F" w:rsidRPr="00A94B08" w:rsidRDefault="00A94B08" w:rsidP="00A94B08">
      <w:pPr>
        <w:pStyle w:val="Listenabsatz"/>
        <w:numPr>
          <w:ilvl w:val="0"/>
          <w:numId w:val="21"/>
        </w:numPr>
        <w:jc w:val="left"/>
        <w:rPr>
          <w:rFonts w:cs="Arial"/>
          <w:sz w:val="18"/>
          <w:szCs w:val="18"/>
        </w:rPr>
      </w:pPr>
      <w:r w:rsidRPr="00A94B08">
        <w:rPr>
          <w:rFonts w:cs="Arial"/>
          <w:sz w:val="18"/>
          <w:szCs w:val="18"/>
        </w:rPr>
        <w:t>die Anforderungen an die Aufstellung eines selbständigen Bebauungsplans (§ 8 Absatz 2 Satz 2) oder an die</w:t>
      </w:r>
      <w:r>
        <w:rPr>
          <w:rFonts w:cs="Arial"/>
          <w:sz w:val="18"/>
          <w:szCs w:val="18"/>
        </w:rPr>
        <w:t xml:space="preserve"> </w:t>
      </w:r>
      <w:r w:rsidRPr="00A94B08">
        <w:rPr>
          <w:rFonts w:cs="Arial"/>
          <w:sz w:val="18"/>
          <w:szCs w:val="18"/>
        </w:rPr>
        <w:t>in § 8 Absatz 4 bezeichneten dringenden Gründe für die Aufstellung eines vorzeitigen Bebauungsplans nicht</w:t>
      </w:r>
      <w:r>
        <w:rPr>
          <w:rFonts w:cs="Arial"/>
          <w:sz w:val="18"/>
          <w:szCs w:val="18"/>
        </w:rPr>
        <w:t xml:space="preserve"> </w:t>
      </w:r>
      <w:r w:rsidRPr="00A94B08">
        <w:rPr>
          <w:rFonts w:cs="Arial"/>
          <w:sz w:val="18"/>
          <w:szCs w:val="18"/>
        </w:rPr>
        <w:t>richtig beurteilt worden sind</w:t>
      </w:r>
      <w:r w:rsidR="00996C3F" w:rsidRPr="00A94B08">
        <w:rPr>
          <w:rFonts w:cs="Arial"/>
          <w:sz w:val="18"/>
          <w:szCs w:val="18"/>
        </w:rPr>
        <w:t>;</w:t>
      </w:r>
    </w:p>
    <w:p w:rsidR="00996C3F" w:rsidRPr="00A94B08" w:rsidRDefault="00A94B08" w:rsidP="00A94B08">
      <w:pPr>
        <w:pStyle w:val="Listenabsatz"/>
        <w:numPr>
          <w:ilvl w:val="0"/>
          <w:numId w:val="21"/>
        </w:numPr>
        <w:jc w:val="left"/>
        <w:rPr>
          <w:rFonts w:cs="Arial"/>
          <w:sz w:val="18"/>
          <w:szCs w:val="18"/>
        </w:rPr>
      </w:pPr>
      <w:r w:rsidRPr="00A94B08">
        <w:rPr>
          <w:rFonts w:cs="Arial"/>
          <w:sz w:val="18"/>
          <w:szCs w:val="18"/>
        </w:rPr>
        <w:t>§ 8 Absatz 2 Satz 1 hinsichtlich des Entwickelns des Bebauungsplans aus dem Flächennutzungsplan verletzt</w:t>
      </w:r>
      <w:r>
        <w:rPr>
          <w:rFonts w:cs="Arial"/>
          <w:sz w:val="18"/>
          <w:szCs w:val="18"/>
        </w:rPr>
        <w:t xml:space="preserve"> </w:t>
      </w:r>
      <w:r w:rsidRPr="00A94B08">
        <w:rPr>
          <w:rFonts w:cs="Arial"/>
          <w:sz w:val="18"/>
          <w:szCs w:val="18"/>
        </w:rPr>
        <w:t>worden ist, ohne dass hierbei die sich aus dem Flächennutzungsplan ergebende geordnete städtebauliche</w:t>
      </w:r>
      <w:r>
        <w:rPr>
          <w:rFonts w:cs="Arial"/>
          <w:sz w:val="18"/>
          <w:szCs w:val="18"/>
        </w:rPr>
        <w:t xml:space="preserve"> </w:t>
      </w:r>
      <w:r w:rsidRPr="00A94B08">
        <w:rPr>
          <w:rFonts w:cs="Arial"/>
          <w:sz w:val="18"/>
          <w:szCs w:val="18"/>
        </w:rPr>
        <w:t>Entwicklung beeinträchtigt worden ist</w:t>
      </w:r>
      <w:r w:rsidR="00996C3F" w:rsidRPr="00A94B08">
        <w:rPr>
          <w:rFonts w:cs="Arial"/>
          <w:sz w:val="18"/>
          <w:szCs w:val="18"/>
        </w:rPr>
        <w:t>;</w:t>
      </w:r>
    </w:p>
    <w:p w:rsidR="00A94B08" w:rsidRDefault="00A94B08" w:rsidP="00A94B08">
      <w:pPr>
        <w:pStyle w:val="Listenabsatz"/>
        <w:numPr>
          <w:ilvl w:val="0"/>
          <w:numId w:val="21"/>
        </w:numPr>
        <w:jc w:val="left"/>
        <w:rPr>
          <w:rFonts w:cs="Arial"/>
          <w:sz w:val="18"/>
          <w:szCs w:val="18"/>
        </w:rPr>
      </w:pPr>
      <w:r w:rsidRPr="00A94B08">
        <w:rPr>
          <w:rFonts w:cs="Arial"/>
          <w:sz w:val="18"/>
          <w:szCs w:val="18"/>
        </w:rPr>
        <w:t>der Bebauungsplan aus einem Flächennutzungsplan entwickelt worden ist, dessen Unwirksamkeit sich</w:t>
      </w:r>
      <w:r>
        <w:rPr>
          <w:rFonts w:cs="Arial"/>
          <w:sz w:val="18"/>
          <w:szCs w:val="18"/>
        </w:rPr>
        <w:t xml:space="preserve"> </w:t>
      </w:r>
      <w:r w:rsidRPr="00A94B08">
        <w:rPr>
          <w:rFonts w:cs="Arial"/>
          <w:sz w:val="18"/>
          <w:szCs w:val="18"/>
        </w:rPr>
        <w:t>wegen Verletzung von Verfahrens- oder Formvorschriften einschließlich des § 6 nach Bekanntmachung des</w:t>
      </w:r>
      <w:r>
        <w:rPr>
          <w:rFonts w:cs="Arial"/>
          <w:sz w:val="18"/>
          <w:szCs w:val="18"/>
        </w:rPr>
        <w:t xml:space="preserve"> </w:t>
      </w:r>
      <w:r w:rsidRPr="00A94B08">
        <w:rPr>
          <w:rFonts w:cs="Arial"/>
          <w:sz w:val="18"/>
          <w:szCs w:val="18"/>
        </w:rPr>
        <w:t>Bebauungsplans herausstellt</w:t>
      </w:r>
      <w:r w:rsidR="00996C3F" w:rsidRPr="00A94B08">
        <w:rPr>
          <w:rFonts w:cs="Arial"/>
          <w:sz w:val="18"/>
          <w:szCs w:val="18"/>
        </w:rPr>
        <w:t>;</w:t>
      </w:r>
    </w:p>
    <w:p w:rsidR="00996C3F" w:rsidRPr="00A94B08" w:rsidRDefault="00996C3F" w:rsidP="00A94B08">
      <w:pPr>
        <w:pStyle w:val="Listenabsatz"/>
        <w:numPr>
          <w:ilvl w:val="0"/>
          <w:numId w:val="21"/>
        </w:numPr>
        <w:jc w:val="left"/>
        <w:rPr>
          <w:rFonts w:cs="Arial"/>
          <w:sz w:val="18"/>
          <w:szCs w:val="18"/>
        </w:rPr>
      </w:pPr>
      <w:r w:rsidRPr="00A94B08">
        <w:rPr>
          <w:rFonts w:cs="Arial"/>
          <w:sz w:val="18"/>
          <w:szCs w:val="18"/>
        </w:rPr>
        <w:lastRenderedPageBreak/>
        <w:t>im Parallelverfahren gegen § 8 Absatz 3 verstoßen worden ist, ohne dass die geordnete städtebauliche Entwicklung beeinträchtigt worden ist.</w:t>
      </w:r>
    </w:p>
    <w:p w:rsidR="004E6887" w:rsidRPr="00B80CAB" w:rsidRDefault="004E6887" w:rsidP="0072022B">
      <w:pPr>
        <w:rPr>
          <w:rFonts w:cs="Arial"/>
          <w:sz w:val="18"/>
          <w:szCs w:val="18"/>
        </w:rPr>
      </w:pPr>
    </w:p>
    <w:p w:rsidR="00996C3F" w:rsidRPr="00E26717" w:rsidRDefault="00996C3F" w:rsidP="00E26717">
      <w:pPr>
        <w:jc w:val="left"/>
        <w:rPr>
          <w:rFonts w:cs="Arial"/>
          <w:sz w:val="18"/>
          <w:szCs w:val="18"/>
        </w:rPr>
      </w:pPr>
      <w:r w:rsidRPr="00E26717">
        <w:rPr>
          <w:rFonts w:cs="Arial"/>
          <w:sz w:val="18"/>
          <w:szCs w:val="18"/>
        </w:rPr>
        <w:t>(2a) […]</w:t>
      </w:r>
    </w:p>
    <w:p w:rsidR="00996C3F" w:rsidRPr="00E26717" w:rsidRDefault="00996C3F" w:rsidP="00996C3F">
      <w:pPr>
        <w:jc w:val="left"/>
        <w:rPr>
          <w:rFonts w:cs="Arial"/>
          <w:sz w:val="18"/>
          <w:szCs w:val="18"/>
        </w:rPr>
      </w:pPr>
    </w:p>
    <w:p w:rsidR="00A94B08" w:rsidRPr="00A94B08" w:rsidRDefault="00996C3F" w:rsidP="00A94B08">
      <w:pPr>
        <w:jc w:val="left"/>
        <w:rPr>
          <w:rFonts w:cs="Arial"/>
          <w:sz w:val="18"/>
          <w:szCs w:val="18"/>
        </w:rPr>
      </w:pPr>
      <w:r w:rsidRPr="00E26717">
        <w:rPr>
          <w:rFonts w:cs="Arial"/>
          <w:sz w:val="18"/>
          <w:szCs w:val="18"/>
        </w:rPr>
        <w:t xml:space="preserve">(3) </w:t>
      </w:r>
      <w:r w:rsidR="00A94B08" w:rsidRPr="00A94B08">
        <w:rPr>
          <w:rFonts w:cs="Arial"/>
          <w:sz w:val="18"/>
          <w:szCs w:val="18"/>
        </w:rPr>
        <w:t>Für die Abwägung ist die Sach- und Rechtslage im Zeitpunkt der Beschlussfassung über den</w:t>
      </w:r>
    </w:p>
    <w:p w:rsidR="00A94B08" w:rsidRPr="00A94B08" w:rsidRDefault="00A94B08" w:rsidP="00A94B08">
      <w:pPr>
        <w:jc w:val="left"/>
        <w:rPr>
          <w:rFonts w:cs="Arial"/>
          <w:sz w:val="18"/>
          <w:szCs w:val="18"/>
        </w:rPr>
      </w:pPr>
      <w:r w:rsidRPr="00A94B08">
        <w:rPr>
          <w:rFonts w:cs="Arial"/>
          <w:sz w:val="18"/>
          <w:szCs w:val="18"/>
        </w:rPr>
        <w:t>Flächennutzungsplan oder die Satzung maßgebend. Mängel, die Gegenstand der Regelung in Absatz 1 Satz 1</w:t>
      </w:r>
    </w:p>
    <w:p w:rsidR="00A94B08" w:rsidRPr="00A94B08" w:rsidRDefault="00A94B08" w:rsidP="00A94B08">
      <w:pPr>
        <w:jc w:val="left"/>
        <w:rPr>
          <w:rFonts w:cs="Arial"/>
          <w:sz w:val="18"/>
          <w:szCs w:val="18"/>
        </w:rPr>
      </w:pPr>
      <w:r w:rsidRPr="00A94B08">
        <w:rPr>
          <w:rFonts w:cs="Arial"/>
          <w:sz w:val="18"/>
          <w:szCs w:val="18"/>
        </w:rPr>
        <w:t>Nummer 1 sind, können nicht als Mängel der Abwägung geltend gemacht werden; im Übrigen sind Mängel im</w:t>
      </w:r>
    </w:p>
    <w:p w:rsidR="00A94B08" w:rsidRPr="00A94B08" w:rsidRDefault="00A94B08" w:rsidP="00A94B08">
      <w:pPr>
        <w:jc w:val="left"/>
        <w:rPr>
          <w:rFonts w:cs="Arial"/>
          <w:sz w:val="18"/>
          <w:szCs w:val="18"/>
        </w:rPr>
      </w:pPr>
      <w:r w:rsidRPr="00A94B08">
        <w:rPr>
          <w:rFonts w:cs="Arial"/>
          <w:sz w:val="18"/>
          <w:szCs w:val="18"/>
        </w:rPr>
        <w:t>Abwägungsvorgang nur erheblich, wenn sie offensichtlich und auf das Abwägungsergebnis von Einfluss gewesen</w:t>
      </w:r>
    </w:p>
    <w:p w:rsidR="00996C3F" w:rsidRPr="00E26717" w:rsidRDefault="00A94B08" w:rsidP="00A94B08">
      <w:pPr>
        <w:jc w:val="left"/>
        <w:rPr>
          <w:rFonts w:cs="Arial"/>
          <w:sz w:val="18"/>
          <w:szCs w:val="18"/>
        </w:rPr>
      </w:pPr>
      <w:r w:rsidRPr="00A94B08">
        <w:rPr>
          <w:rFonts w:cs="Arial"/>
          <w:sz w:val="18"/>
          <w:szCs w:val="18"/>
        </w:rPr>
        <w:t>sind</w:t>
      </w:r>
      <w:r w:rsidR="00996C3F" w:rsidRPr="00E26717">
        <w:rPr>
          <w:rFonts w:cs="Arial"/>
          <w:sz w:val="18"/>
          <w:szCs w:val="18"/>
        </w:rPr>
        <w:t>.</w:t>
      </w:r>
    </w:p>
    <w:p w:rsidR="00996C3F" w:rsidRPr="00E26717" w:rsidRDefault="00996C3F" w:rsidP="00E26717">
      <w:pPr>
        <w:jc w:val="left"/>
        <w:rPr>
          <w:rFonts w:cs="Arial"/>
          <w:sz w:val="18"/>
          <w:szCs w:val="18"/>
        </w:rPr>
      </w:pPr>
    </w:p>
    <w:p w:rsidR="004E6887" w:rsidRPr="00B80CAB" w:rsidRDefault="00996C3F" w:rsidP="00E26717">
      <w:pPr>
        <w:jc w:val="left"/>
        <w:rPr>
          <w:rFonts w:cs="Arial"/>
          <w:sz w:val="18"/>
          <w:szCs w:val="18"/>
        </w:rPr>
      </w:pPr>
      <w:r w:rsidRPr="00E26717">
        <w:rPr>
          <w:rFonts w:cs="Arial"/>
          <w:sz w:val="18"/>
          <w:szCs w:val="18"/>
        </w:rPr>
        <w:t>(4) […].“</w:t>
      </w:r>
    </w:p>
    <w:p w:rsidR="004E6887" w:rsidRDefault="004E6887" w:rsidP="0072022B">
      <w:pPr>
        <w:rPr>
          <w:sz w:val="18"/>
          <w:szCs w:val="18"/>
        </w:rPr>
      </w:pPr>
    </w:p>
    <w:p w:rsidR="004E6887" w:rsidRPr="00A94B08" w:rsidRDefault="004E6887">
      <w:pPr>
        <w:rPr>
          <w:sz w:val="18"/>
          <w:szCs w:val="18"/>
          <w:u w:val="single"/>
        </w:rPr>
      </w:pPr>
      <w:r w:rsidRPr="00A94B08">
        <w:rPr>
          <w:sz w:val="18"/>
          <w:szCs w:val="18"/>
          <w:u w:val="single"/>
        </w:rPr>
        <w:t>Elektronische Information</w:t>
      </w:r>
    </w:p>
    <w:p w:rsidR="0018197C" w:rsidRDefault="0018197C">
      <w:pPr>
        <w:rPr>
          <w:sz w:val="18"/>
          <w:szCs w:val="18"/>
        </w:rPr>
      </w:pPr>
    </w:p>
    <w:p w:rsidR="004E6887" w:rsidRDefault="004F2BDF">
      <w:pPr>
        <w:rPr>
          <w:sz w:val="18"/>
          <w:szCs w:val="18"/>
        </w:rPr>
      </w:pPr>
      <w:r>
        <w:rPr>
          <w:sz w:val="18"/>
          <w:szCs w:val="18"/>
        </w:rPr>
        <w:t>Gemäß § 6a Abs. 2</w:t>
      </w:r>
      <w:r w:rsidR="004E6887">
        <w:rPr>
          <w:sz w:val="18"/>
          <w:szCs w:val="18"/>
        </w:rPr>
        <w:t xml:space="preserve"> BauGB soll der wirksame Flächennutzungsplan mit der Begründung und der zusammenfassenden Erklärung auch in das Internet eingestellt werden und über ein zentrales Internetportal des Landes zugänglich gemacht werden.</w:t>
      </w:r>
    </w:p>
    <w:p w:rsidR="007D2DCF" w:rsidRDefault="007D2DCF">
      <w:pPr>
        <w:rPr>
          <w:sz w:val="18"/>
          <w:szCs w:val="18"/>
        </w:rPr>
      </w:pPr>
    </w:p>
    <w:p w:rsidR="007D2DCF" w:rsidRDefault="007D2DCF" w:rsidP="00F11FDA">
      <w:pPr>
        <w:rPr>
          <w:sz w:val="18"/>
          <w:szCs w:val="18"/>
        </w:rPr>
      </w:pPr>
      <w:r>
        <w:rPr>
          <w:sz w:val="18"/>
          <w:szCs w:val="18"/>
        </w:rPr>
        <w:t>D</w:t>
      </w:r>
      <w:r w:rsidR="00081A90">
        <w:rPr>
          <w:sz w:val="18"/>
          <w:szCs w:val="18"/>
        </w:rPr>
        <w:t>ie</w:t>
      </w:r>
      <w:r>
        <w:rPr>
          <w:sz w:val="18"/>
          <w:szCs w:val="18"/>
        </w:rPr>
        <w:t xml:space="preserve"> wirksame Flächennutzungsplan</w:t>
      </w:r>
      <w:r w:rsidR="00081A90">
        <w:rPr>
          <w:sz w:val="18"/>
          <w:szCs w:val="18"/>
        </w:rPr>
        <w:t>änderung</w:t>
      </w:r>
      <w:r>
        <w:rPr>
          <w:sz w:val="18"/>
          <w:szCs w:val="18"/>
        </w:rPr>
        <w:t xml:space="preserve"> mit der Begründung und der zusammenfassenden Erklärung werden auf der </w:t>
      </w:r>
      <w:r w:rsidR="002D3E8E">
        <w:rPr>
          <w:sz w:val="18"/>
          <w:szCs w:val="18"/>
        </w:rPr>
        <w:t>Homepage</w:t>
      </w:r>
      <w:r>
        <w:rPr>
          <w:sz w:val="18"/>
          <w:szCs w:val="18"/>
        </w:rPr>
        <w:t xml:space="preserve"> der Gemeinde Kupferzell (</w:t>
      </w:r>
      <w:r w:rsidRPr="007079E9">
        <w:rPr>
          <w:sz w:val="18"/>
          <w:szCs w:val="18"/>
        </w:rPr>
        <w:t>www.kupferzell.de</w:t>
      </w:r>
      <w:r>
        <w:rPr>
          <w:sz w:val="18"/>
          <w:szCs w:val="18"/>
        </w:rPr>
        <w:t xml:space="preserve">) unter der Rubrik </w:t>
      </w:r>
      <w:r w:rsidRPr="00E26717">
        <w:rPr>
          <w:sz w:val="18"/>
          <w:szCs w:val="18"/>
        </w:rPr>
        <w:t>„</w:t>
      </w:r>
      <w:r w:rsidR="00D93D49">
        <w:rPr>
          <w:sz w:val="18"/>
          <w:szCs w:val="18"/>
        </w:rPr>
        <w:t>Neuigkeiten</w:t>
      </w:r>
      <w:r w:rsidRPr="00E26717">
        <w:rPr>
          <w:sz w:val="18"/>
          <w:szCs w:val="18"/>
        </w:rPr>
        <w:t>“</w:t>
      </w:r>
      <w:r>
        <w:rPr>
          <w:sz w:val="18"/>
          <w:szCs w:val="18"/>
        </w:rPr>
        <w:t xml:space="preserve"> und auf der Homepage der Stadt </w:t>
      </w:r>
      <w:r w:rsidR="002D3E8E">
        <w:rPr>
          <w:sz w:val="18"/>
          <w:szCs w:val="18"/>
        </w:rPr>
        <w:t>Neuenstein</w:t>
      </w:r>
      <w:r>
        <w:rPr>
          <w:sz w:val="18"/>
          <w:szCs w:val="18"/>
        </w:rPr>
        <w:t xml:space="preserve"> (</w:t>
      </w:r>
      <w:r w:rsidRPr="007079E9">
        <w:rPr>
          <w:sz w:val="18"/>
          <w:szCs w:val="18"/>
        </w:rPr>
        <w:t>www.neuenstein.de</w:t>
      </w:r>
      <w:r>
        <w:rPr>
          <w:sz w:val="18"/>
          <w:szCs w:val="18"/>
        </w:rPr>
        <w:t xml:space="preserve">) unter der Rubrik </w:t>
      </w:r>
      <w:r w:rsidRPr="00525698">
        <w:rPr>
          <w:sz w:val="18"/>
          <w:szCs w:val="18"/>
        </w:rPr>
        <w:t>„</w:t>
      </w:r>
      <w:r w:rsidR="00F11FDA" w:rsidRPr="00525698">
        <w:rPr>
          <w:sz w:val="18"/>
          <w:szCs w:val="18"/>
        </w:rPr>
        <w:t xml:space="preserve">Leben &amp; Wohnen, Bauen, </w:t>
      </w:r>
      <w:r w:rsidR="00E26717" w:rsidRPr="00525698">
        <w:rPr>
          <w:sz w:val="18"/>
          <w:szCs w:val="18"/>
        </w:rPr>
        <w:t>GVV Hohenloher Ebene</w:t>
      </w:r>
      <w:r w:rsidRPr="00525698">
        <w:rPr>
          <w:sz w:val="18"/>
          <w:szCs w:val="18"/>
        </w:rPr>
        <w:t>“</w:t>
      </w:r>
      <w:r>
        <w:rPr>
          <w:sz w:val="18"/>
          <w:szCs w:val="18"/>
        </w:rPr>
        <w:t xml:space="preserve"> sowie auf der </w:t>
      </w:r>
      <w:r w:rsidR="00525698">
        <w:rPr>
          <w:sz w:val="18"/>
          <w:szCs w:val="18"/>
        </w:rPr>
        <w:t xml:space="preserve">Startseite der </w:t>
      </w:r>
      <w:r>
        <w:rPr>
          <w:sz w:val="18"/>
          <w:szCs w:val="18"/>
        </w:rPr>
        <w:t xml:space="preserve">Homepage der Stadt Waldenburg </w:t>
      </w:r>
      <w:r w:rsidR="002D3E8E">
        <w:rPr>
          <w:sz w:val="18"/>
          <w:szCs w:val="18"/>
        </w:rPr>
        <w:t>(</w:t>
      </w:r>
      <w:r w:rsidR="00763A49">
        <w:rPr>
          <w:sz w:val="18"/>
          <w:szCs w:val="18"/>
        </w:rPr>
        <w:t>www.walde</w:t>
      </w:r>
      <w:r w:rsidR="00CA5C86">
        <w:rPr>
          <w:sz w:val="18"/>
          <w:szCs w:val="18"/>
        </w:rPr>
        <w:t>n</w:t>
      </w:r>
      <w:r w:rsidR="00763A49">
        <w:rPr>
          <w:sz w:val="18"/>
          <w:szCs w:val="18"/>
        </w:rPr>
        <w:t>burg-hohenlohe.de</w:t>
      </w:r>
      <w:r w:rsidR="002D3E8E">
        <w:rPr>
          <w:sz w:val="18"/>
          <w:szCs w:val="18"/>
        </w:rPr>
        <w:t>)</w:t>
      </w:r>
      <w:r>
        <w:rPr>
          <w:sz w:val="18"/>
          <w:szCs w:val="18"/>
        </w:rPr>
        <w:t xml:space="preserve"> unter der Rubrik </w:t>
      </w:r>
      <w:r w:rsidRPr="00525698">
        <w:rPr>
          <w:sz w:val="18"/>
          <w:szCs w:val="18"/>
        </w:rPr>
        <w:t>„</w:t>
      </w:r>
      <w:r w:rsidR="00525698" w:rsidRPr="00525698">
        <w:rPr>
          <w:sz w:val="18"/>
          <w:szCs w:val="18"/>
        </w:rPr>
        <w:t>Schneller Link</w:t>
      </w:r>
      <w:r w:rsidRPr="00525698">
        <w:rPr>
          <w:sz w:val="18"/>
          <w:szCs w:val="18"/>
        </w:rPr>
        <w:t>“</w:t>
      </w:r>
      <w:r>
        <w:rPr>
          <w:sz w:val="18"/>
          <w:szCs w:val="18"/>
        </w:rPr>
        <w:t xml:space="preserve"> für jedermann zugänglich eingestellt.</w:t>
      </w:r>
    </w:p>
    <w:p w:rsidR="004E6887" w:rsidRDefault="004E6887">
      <w:pPr>
        <w:rPr>
          <w:sz w:val="18"/>
          <w:szCs w:val="18"/>
        </w:rPr>
      </w:pPr>
    </w:p>
    <w:p w:rsidR="007D2DCF" w:rsidRDefault="00EA0809">
      <w:pPr>
        <w:rPr>
          <w:sz w:val="18"/>
          <w:szCs w:val="18"/>
        </w:rPr>
      </w:pPr>
      <w:r>
        <w:rPr>
          <w:sz w:val="18"/>
          <w:szCs w:val="18"/>
        </w:rPr>
        <w:t>Eine Einstellung in das zentrale Internetportal des Landes ist nicht möglich, da dieses Portal noch nicht existiert.</w:t>
      </w:r>
    </w:p>
    <w:p w:rsidR="007D2DCF" w:rsidRPr="005C4439" w:rsidRDefault="007D2DCF">
      <w:pPr>
        <w:rPr>
          <w:sz w:val="18"/>
          <w:szCs w:val="18"/>
        </w:rPr>
      </w:pPr>
    </w:p>
    <w:p w:rsidR="0018197C" w:rsidRPr="005C4439" w:rsidRDefault="0018197C">
      <w:pPr>
        <w:rPr>
          <w:sz w:val="18"/>
          <w:szCs w:val="18"/>
        </w:rPr>
      </w:pPr>
      <w:r w:rsidRPr="005C4439">
        <w:rPr>
          <w:sz w:val="18"/>
          <w:szCs w:val="18"/>
        </w:rPr>
        <w:t xml:space="preserve">Kupferzell, den </w:t>
      </w:r>
      <w:r w:rsidR="000B5754">
        <w:rPr>
          <w:sz w:val="18"/>
          <w:szCs w:val="18"/>
        </w:rPr>
        <w:t>06.12.2019</w:t>
      </w:r>
    </w:p>
    <w:p w:rsidR="006A52F8" w:rsidRDefault="006A52F8">
      <w:pPr>
        <w:rPr>
          <w:sz w:val="18"/>
          <w:szCs w:val="18"/>
        </w:rPr>
      </w:pPr>
    </w:p>
    <w:p w:rsidR="0018197C" w:rsidRPr="005C4439" w:rsidRDefault="0018197C">
      <w:pPr>
        <w:rPr>
          <w:sz w:val="18"/>
          <w:szCs w:val="18"/>
        </w:rPr>
      </w:pPr>
      <w:r w:rsidRPr="005C4439">
        <w:rPr>
          <w:sz w:val="18"/>
          <w:szCs w:val="18"/>
        </w:rPr>
        <w:t>gez.</w:t>
      </w:r>
    </w:p>
    <w:p w:rsidR="006A52F8" w:rsidRDefault="006A52F8">
      <w:pPr>
        <w:rPr>
          <w:sz w:val="18"/>
          <w:szCs w:val="18"/>
        </w:rPr>
      </w:pPr>
    </w:p>
    <w:p w:rsidR="0018197C" w:rsidRPr="005C4439" w:rsidRDefault="00EC29CC">
      <w:pPr>
        <w:rPr>
          <w:sz w:val="18"/>
          <w:szCs w:val="18"/>
        </w:rPr>
      </w:pPr>
      <w:r>
        <w:rPr>
          <w:sz w:val="18"/>
          <w:szCs w:val="18"/>
        </w:rPr>
        <w:t>Christoph Spieles</w:t>
      </w:r>
    </w:p>
    <w:p w:rsidR="0018197C" w:rsidRPr="005C4439" w:rsidRDefault="0018197C">
      <w:pPr>
        <w:rPr>
          <w:sz w:val="18"/>
          <w:szCs w:val="18"/>
        </w:rPr>
      </w:pPr>
      <w:r w:rsidRPr="005C4439">
        <w:rPr>
          <w:sz w:val="18"/>
          <w:szCs w:val="18"/>
        </w:rPr>
        <w:t>Verbandsvorsitzender</w:t>
      </w:r>
    </w:p>
    <w:sectPr w:rsidR="0018197C" w:rsidRPr="005C4439">
      <w:type w:val="continuous"/>
      <w:pgSz w:w="11907" w:h="16840" w:code="9"/>
      <w:pgMar w:top="851" w:right="1418" w:bottom="1134" w:left="1418" w:header="720" w:footer="720" w:gutter="0"/>
      <w:paperSrc w:first="261" w:other="26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B07"/>
    <w:multiLevelType w:val="hybridMultilevel"/>
    <w:tmpl w:val="B052D4B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BE50BCF"/>
    <w:multiLevelType w:val="hybridMultilevel"/>
    <w:tmpl w:val="57DAC12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0EC14560"/>
    <w:multiLevelType w:val="hybridMultilevel"/>
    <w:tmpl w:val="6F0A69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5F4119"/>
    <w:multiLevelType w:val="hybridMultilevel"/>
    <w:tmpl w:val="40208B62"/>
    <w:lvl w:ilvl="0" w:tplc="77CC4B18">
      <w:start w:val="100"/>
      <w:numFmt w:val="bullet"/>
      <w:lvlText w:val="-"/>
      <w:lvlJc w:val="left"/>
      <w:pPr>
        <w:tabs>
          <w:tab w:val="num" w:pos="360"/>
        </w:tabs>
        <w:ind w:left="360" w:hanging="360"/>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F5B1407"/>
    <w:multiLevelType w:val="hybridMultilevel"/>
    <w:tmpl w:val="184A371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0620A7A"/>
    <w:multiLevelType w:val="hybridMultilevel"/>
    <w:tmpl w:val="178233FA"/>
    <w:lvl w:ilvl="0" w:tplc="77CC4B18">
      <w:start w:val="100"/>
      <w:numFmt w:val="bullet"/>
      <w:lvlText w:val="-"/>
      <w:lvlJc w:val="left"/>
      <w:pPr>
        <w:tabs>
          <w:tab w:val="num" w:pos="360"/>
        </w:tabs>
        <w:ind w:left="360" w:hanging="360"/>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23A49FD"/>
    <w:multiLevelType w:val="hybridMultilevel"/>
    <w:tmpl w:val="9F5E53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EB28F4"/>
    <w:multiLevelType w:val="singleLevel"/>
    <w:tmpl w:val="0407000F"/>
    <w:lvl w:ilvl="0">
      <w:start w:val="1"/>
      <w:numFmt w:val="decimal"/>
      <w:lvlText w:val="%1."/>
      <w:lvlJc w:val="left"/>
      <w:pPr>
        <w:tabs>
          <w:tab w:val="num" w:pos="360"/>
        </w:tabs>
        <w:ind w:left="360" w:hanging="360"/>
      </w:pPr>
    </w:lvl>
  </w:abstractNum>
  <w:abstractNum w:abstractNumId="8">
    <w:nsid w:val="2B035533"/>
    <w:multiLevelType w:val="hybridMultilevel"/>
    <w:tmpl w:val="BB344902"/>
    <w:lvl w:ilvl="0" w:tplc="77CC4B18">
      <w:start w:val="100"/>
      <w:numFmt w:val="bullet"/>
      <w:lvlText w:val="-"/>
      <w:lvlJc w:val="left"/>
      <w:pPr>
        <w:tabs>
          <w:tab w:val="num" w:pos="360"/>
        </w:tabs>
        <w:ind w:left="360" w:hanging="360"/>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2040668"/>
    <w:multiLevelType w:val="hybridMultilevel"/>
    <w:tmpl w:val="9D86C5D4"/>
    <w:lvl w:ilvl="0" w:tplc="3BEC4D2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6C15ABB"/>
    <w:multiLevelType w:val="hybridMultilevel"/>
    <w:tmpl w:val="21ECC3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6FD3389"/>
    <w:multiLevelType w:val="hybridMultilevel"/>
    <w:tmpl w:val="9C10AE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9E245A0"/>
    <w:multiLevelType w:val="hybridMultilevel"/>
    <w:tmpl w:val="A76ECB00"/>
    <w:lvl w:ilvl="0" w:tplc="77CC4B18">
      <w:start w:val="100"/>
      <w:numFmt w:val="bullet"/>
      <w:lvlText w:val="-"/>
      <w:lvlJc w:val="left"/>
      <w:pPr>
        <w:tabs>
          <w:tab w:val="num" w:pos="360"/>
        </w:tabs>
        <w:ind w:left="360" w:hanging="360"/>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9DE04CF"/>
    <w:multiLevelType w:val="hybridMultilevel"/>
    <w:tmpl w:val="46D4C9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A3A5DD4"/>
    <w:multiLevelType w:val="singleLevel"/>
    <w:tmpl w:val="77CC4B18"/>
    <w:lvl w:ilvl="0">
      <w:start w:val="100"/>
      <w:numFmt w:val="bullet"/>
      <w:lvlText w:val="-"/>
      <w:lvlJc w:val="left"/>
      <w:pPr>
        <w:tabs>
          <w:tab w:val="num" w:pos="360"/>
        </w:tabs>
        <w:ind w:left="360" w:hanging="360"/>
      </w:pPr>
      <w:rPr>
        <w:rFonts w:ascii="Times New Roman" w:hAnsi="Times New Roman" w:hint="default"/>
      </w:rPr>
    </w:lvl>
  </w:abstractNum>
  <w:abstractNum w:abstractNumId="15">
    <w:nsid w:val="4C843AEC"/>
    <w:multiLevelType w:val="singleLevel"/>
    <w:tmpl w:val="0407000F"/>
    <w:lvl w:ilvl="0">
      <w:start w:val="1"/>
      <w:numFmt w:val="decimal"/>
      <w:lvlText w:val="%1."/>
      <w:lvlJc w:val="left"/>
      <w:pPr>
        <w:tabs>
          <w:tab w:val="num" w:pos="360"/>
        </w:tabs>
        <w:ind w:left="360" w:hanging="360"/>
      </w:pPr>
    </w:lvl>
  </w:abstractNum>
  <w:abstractNum w:abstractNumId="16">
    <w:nsid w:val="57702B07"/>
    <w:multiLevelType w:val="hybridMultilevel"/>
    <w:tmpl w:val="29FAA91E"/>
    <w:lvl w:ilvl="0" w:tplc="08BECDB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393F71"/>
    <w:multiLevelType w:val="hybridMultilevel"/>
    <w:tmpl w:val="1508549A"/>
    <w:lvl w:ilvl="0" w:tplc="3BEC4D2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5E969D2"/>
    <w:multiLevelType w:val="hybridMultilevel"/>
    <w:tmpl w:val="BD3C2E86"/>
    <w:lvl w:ilvl="0" w:tplc="5C44F44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73775AC"/>
    <w:multiLevelType w:val="hybridMultilevel"/>
    <w:tmpl w:val="A5646D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CAC4AB0"/>
    <w:multiLevelType w:val="singleLevel"/>
    <w:tmpl w:val="77CC4B18"/>
    <w:lvl w:ilvl="0">
      <w:start w:val="100"/>
      <w:numFmt w:val="bullet"/>
      <w:lvlText w:val="-"/>
      <w:lvlJc w:val="left"/>
      <w:pPr>
        <w:tabs>
          <w:tab w:val="num" w:pos="360"/>
        </w:tabs>
        <w:ind w:left="360" w:hanging="360"/>
      </w:pPr>
      <w:rPr>
        <w:rFonts w:ascii="Times New Roman" w:hAnsi="Times New Roman" w:hint="default"/>
      </w:rPr>
    </w:lvl>
  </w:abstractNum>
  <w:abstractNum w:abstractNumId="21">
    <w:nsid w:val="767F3D09"/>
    <w:multiLevelType w:val="singleLevel"/>
    <w:tmpl w:val="77CC4B18"/>
    <w:lvl w:ilvl="0">
      <w:start w:val="100"/>
      <w:numFmt w:val="bullet"/>
      <w:lvlText w:val="-"/>
      <w:lvlJc w:val="left"/>
      <w:pPr>
        <w:tabs>
          <w:tab w:val="num" w:pos="360"/>
        </w:tabs>
        <w:ind w:left="360" w:hanging="360"/>
      </w:pPr>
      <w:rPr>
        <w:rFonts w:ascii="Times New Roman" w:hAnsi="Times New Roman" w:hint="default"/>
      </w:rPr>
    </w:lvl>
  </w:abstractNum>
  <w:num w:numId="1">
    <w:abstractNumId w:val="20"/>
  </w:num>
  <w:num w:numId="2">
    <w:abstractNumId w:val="21"/>
  </w:num>
  <w:num w:numId="3">
    <w:abstractNumId w:val="14"/>
  </w:num>
  <w:num w:numId="4">
    <w:abstractNumId w:val="15"/>
  </w:num>
  <w:num w:numId="5">
    <w:abstractNumId w:val="7"/>
  </w:num>
  <w:num w:numId="6">
    <w:abstractNumId w:val="12"/>
  </w:num>
  <w:num w:numId="7">
    <w:abstractNumId w:val="5"/>
  </w:num>
  <w:num w:numId="8">
    <w:abstractNumId w:val="8"/>
  </w:num>
  <w:num w:numId="9">
    <w:abstractNumId w:val="3"/>
  </w:num>
  <w:num w:numId="10">
    <w:abstractNumId w:val="4"/>
  </w:num>
  <w:num w:numId="11">
    <w:abstractNumId w:val="0"/>
  </w:num>
  <w:num w:numId="12">
    <w:abstractNumId w:val="19"/>
  </w:num>
  <w:num w:numId="13">
    <w:abstractNumId w:val="10"/>
  </w:num>
  <w:num w:numId="14">
    <w:abstractNumId w:val="16"/>
  </w:num>
  <w:num w:numId="15">
    <w:abstractNumId w:val="13"/>
  </w:num>
  <w:num w:numId="16">
    <w:abstractNumId w:val="2"/>
  </w:num>
  <w:num w:numId="17">
    <w:abstractNumId w:val="9"/>
  </w:num>
  <w:num w:numId="18">
    <w:abstractNumId w:val="1"/>
  </w:num>
  <w:num w:numId="19">
    <w:abstractNumId w:val="6"/>
  </w:num>
  <w:num w:numId="20">
    <w:abstractNumId w:val="18"/>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D4CBDDE-20AD-41A9-A823-4CBC0A0A2966}"/>
    <w:docVar w:name="dgnword-eventsink" w:val="229136552"/>
  </w:docVars>
  <w:rsids>
    <w:rsidRoot w:val="000D55B1"/>
    <w:rsid w:val="00010271"/>
    <w:rsid w:val="00081A90"/>
    <w:rsid w:val="000B5754"/>
    <w:rsid w:val="000D55B1"/>
    <w:rsid w:val="0011223E"/>
    <w:rsid w:val="0012253D"/>
    <w:rsid w:val="00137F8A"/>
    <w:rsid w:val="0018197C"/>
    <w:rsid w:val="001B4FCC"/>
    <w:rsid w:val="00271AFD"/>
    <w:rsid w:val="002D3E8E"/>
    <w:rsid w:val="002F5A16"/>
    <w:rsid w:val="003041F2"/>
    <w:rsid w:val="00316DA2"/>
    <w:rsid w:val="003A29A6"/>
    <w:rsid w:val="00403B26"/>
    <w:rsid w:val="00483F99"/>
    <w:rsid w:val="004E6887"/>
    <w:rsid w:val="004F1C26"/>
    <w:rsid w:val="004F2BDF"/>
    <w:rsid w:val="004F4B09"/>
    <w:rsid w:val="00525698"/>
    <w:rsid w:val="0059099F"/>
    <w:rsid w:val="005C4439"/>
    <w:rsid w:val="0063004A"/>
    <w:rsid w:val="00650EC2"/>
    <w:rsid w:val="006A52F8"/>
    <w:rsid w:val="006E1E11"/>
    <w:rsid w:val="00703337"/>
    <w:rsid w:val="007079E9"/>
    <w:rsid w:val="00714E26"/>
    <w:rsid w:val="0072022B"/>
    <w:rsid w:val="00736EC1"/>
    <w:rsid w:val="00763A49"/>
    <w:rsid w:val="007A2A8E"/>
    <w:rsid w:val="007D2DCF"/>
    <w:rsid w:val="007F28FE"/>
    <w:rsid w:val="00816D10"/>
    <w:rsid w:val="00817225"/>
    <w:rsid w:val="00871917"/>
    <w:rsid w:val="008A7B42"/>
    <w:rsid w:val="008D49A7"/>
    <w:rsid w:val="008D5BA4"/>
    <w:rsid w:val="00993984"/>
    <w:rsid w:val="00996C3F"/>
    <w:rsid w:val="009E0EBE"/>
    <w:rsid w:val="00A94B08"/>
    <w:rsid w:val="00AC45D4"/>
    <w:rsid w:val="00AC7215"/>
    <w:rsid w:val="00B322E5"/>
    <w:rsid w:val="00B80CAB"/>
    <w:rsid w:val="00BB4391"/>
    <w:rsid w:val="00BC7325"/>
    <w:rsid w:val="00C13FDC"/>
    <w:rsid w:val="00CA5C86"/>
    <w:rsid w:val="00D22AF3"/>
    <w:rsid w:val="00D93D49"/>
    <w:rsid w:val="00DA3086"/>
    <w:rsid w:val="00DC1778"/>
    <w:rsid w:val="00DF1222"/>
    <w:rsid w:val="00E1420F"/>
    <w:rsid w:val="00E26717"/>
    <w:rsid w:val="00EA0809"/>
    <w:rsid w:val="00EC0A84"/>
    <w:rsid w:val="00EC29CC"/>
    <w:rsid w:val="00F024E2"/>
    <w:rsid w:val="00F11FDA"/>
    <w:rsid w:val="00F15B66"/>
    <w:rsid w:val="00FC4D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mschlagAdresse">
    <w:name w:val="Umschlag Adresse"/>
    <w:basedOn w:val="Standard"/>
    <w:pPr>
      <w:framePr w:w="9622" w:h="1979" w:hRule="exact" w:hSpace="142" w:wrap="around" w:hAnchor="text" w:xAlign="center" w:yAlign="bottom"/>
      <w:ind w:left="6850"/>
    </w:pPr>
    <w:rPr>
      <w:sz w:val="24"/>
    </w:rPr>
  </w:style>
  <w:style w:type="paragraph" w:customStyle="1" w:styleId="c5">
    <w:name w:val="c5"/>
    <w:basedOn w:val="UmschlagAdresse"/>
    <w:pPr>
      <w:framePr w:wrap="around"/>
      <w:ind w:left="1180"/>
    </w:pPr>
  </w:style>
  <w:style w:type="paragraph" w:styleId="Sprechblasentext">
    <w:name w:val="Balloon Text"/>
    <w:basedOn w:val="Standard"/>
    <w:semiHidden/>
    <w:rsid w:val="00BC7325"/>
    <w:rPr>
      <w:rFonts w:ascii="Tahoma" w:hAnsi="Tahoma" w:cs="Tahoma"/>
      <w:sz w:val="16"/>
      <w:szCs w:val="16"/>
    </w:rPr>
  </w:style>
  <w:style w:type="character" w:styleId="Hyperlink">
    <w:name w:val="Hyperlink"/>
    <w:rsid w:val="007D2DCF"/>
    <w:rPr>
      <w:color w:val="0563C1"/>
      <w:u w:val="single"/>
    </w:rPr>
  </w:style>
  <w:style w:type="paragraph" w:styleId="Listenabsatz">
    <w:name w:val="List Paragraph"/>
    <w:basedOn w:val="Standard"/>
    <w:uiPriority w:val="34"/>
    <w:qFormat/>
    <w:rsid w:val="008A7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mschlagAdresse">
    <w:name w:val="Umschlag Adresse"/>
    <w:basedOn w:val="Standard"/>
    <w:pPr>
      <w:framePr w:w="9622" w:h="1979" w:hRule="exact" w:hSpace="142" w:wrap="around" w:hAnchor="text" w:xAlign="center" w:yAlign="bottom"/>
      <w:ind w:left="6850"/>
    </w:pPr>
    <w:rPr>
      <w:sz w:val="24"/>
    </w:rPr>
  </w:style>
  <w:style w:type="paragraph" w:customStyle="1" w:styleId="c5">
    <w:name w:val="c5"/>
    <w:basedOn w:val="UmschlagAdresse"/>
    <w:pPr>
      <w:framePr w:wrap="around"/>
      <w:ind w:left="1180"/>
    </w:pPr>
  </w:style>
  <w:style w:type="paragraph" w:styleId="Sprechblasentext">
    <w:name w:val="Balloon Text"/>
    <w:basedOn w:val="Standard"/>
    <w:semiHidden/>
    <w:rsid w:val="00BC7325"/>
    <w:rPr>
      <w:rFonts w:ascii="Tahoma" w:hAnsi="Tahoma" w:cs="Tahoma"/>
      <w:sz w:val="16"/>
      <w:szCs w:val="16"/>
    </w:rPr>
  </w:style>
  <w:style w:type="character" w:styleId="Hyperlink">
    <w:name w:val="Hyperlink"/>
    <w:rsid w:val="007D2DCF"/>
    <w:rPr>
      <w:color w:val="0563C1"/>
      <w:u w:val="single"/>
    </w:rPr>
  </w:style>
  <w:style w:type="paragraph" w:styleId="Listenabsatz">
    <w:name w:val="List Paragraph"/>
    <w:basedOn w:val="Standard"/>
    <w:uiPriority w:val="34"/>
    <w:qFormat/>
    <w:rsid w:val="008A7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50917">
      <w:bodyDiv w:val="1"/>
      <w:marLeft w:val="0"/>
      <w:marRight w:val="0"/>
      <w:marTop w:val="0"/>
      <w:marBottom w:val="0"/>
      <w:divBdr>
        <w:top w:val="none" w:sz="0" w:space="0" w:color="auto"/>
        <w:left w:val="none" w:sz="0" w:space="0" w:color="auto"/>
        <w:bottom w:val="none" w:sz="0" w:space="0" w:color="auto"/>
        <w:right w:val="none" w:sz="0" w:space="0" w:color="auto"/>
      </w:divBdr>
      <w:divsChild>
        <w:div w:id="279917434">
          <w:marLeft w:val="0"/>
          <w:marRight w:val="0"/>
          <w:marTop w:val="0"/>
          <w:marBottom w:val="0"/>
          <w:divBdr>
            <w:top w:val="none" w:sz="0" w:space="0" w:color="auto"/>
            <w:left w:val="none" w:sz="0" w:space="0" w:color="auto"/>
            <w:bottom w:val="none" w:sz="0" w:space="0" w:color="auto"/>
            <w:right w:val="none" w:sz="0" w:space="0" w:color="auto"/>
          </w:divBdr>
          <w:divsChild>
            <w:div w:id="845175854">
              <w:marLeft w:val="0"/>
              <w:marRight w:val="0"/>
              <w:marTop w:val="0"/>
              <w:marBottom w:val="0"/>
              <w:divBdr>
                <w:top w:val="none" w:sz="0" w:space="0" w:color="auto"/>
                <w:left w:val="none" w:sz="0" w:space="0" w:color="auto"/>
                <w:bottom w:val="none" w:sz="0" w:space="0" w:color="auto"/>
                <w:right w:val="none" w:sz="0" w:space="0" w:color="auto"/>
              </w:divBdr>
            </w:div>
            <w:div w:id="1039740429">
              <w:marLeft w:val="0"/>
              <w:marRight w:val="0"/>
              <w:marTop w:val="0"/>
              <w:marBottom w:val="0"/>
              <w:divBdr>
                <w:top w:val="none" w:sz="0" w:space="0" w:color="auto"/>
                <w:left w:val="none" w:sz="0" w:space="0" w:color="auto"/>
                <w:bottom w:val="none" w:sz="0" w:space="0" w:color="auto"/>
                <w:right w:val="none" w:sz="0" w:space="0" w:color="auto"/>
              </w:divBdr>
            </w:div>
            <w:div w:id="1627738047">
              <w:marLeft w:val="0"/>
              <w:marRight w:val="0"/>
              <w:marTop w:val="0"/>
              <w:marBottom w:val="0"/>
              <w:divBdr>
                <w:top w:val="none" w:sz="0" w:space="0" w:color="auto"/>
                <w:left w:val="none" w:sz="0" w:space="0" w:color="auto"/>
                <w:bottom w:val="none" w:sz="0" w:space="0" w:color="auto"/>
                <w:right w:val="none" w:sz="0" w:space="0" w:color="auto"/>
              </w:divBdr>
            </w:div>
            <w:div w:id="1971744636">
              <w:marLeft w:val="0"/>
              <w:marRight w:val="0"/>
              <w:marTop w:val="0"/>
              <w:marBottom w:val="0"/>
              <w:divBdr>
                <w:top w:val="none" w:sz="0" w:space="0" w:color="auto"/>
                <w:left w:val="none" w:sz="0" w:space="0" w:color="auto"/>
                <w:bottom w:val="none" w:sz="0" w:space="0" w:color="auto"/>
                <w:right w:val="none" w:sz="0" w:space="0" w:color="auto"/>
              </w:divBdr>
            </w:div>
          </w:divsChild>
        </w:div>
        <w:div w:id="1434351525">
          <w:marLeft w:val="0"/>
          <w:marRight w:val="0"/>
          <w:marTop w:val="0"/>
          <w:marBottom w:val="0"/>
          <w:divBdr>
            <w:top w:val="none" w:sz="0" w:space="0" w:color="auto"/>
            <w:left w:val="none" w:sz="0" w:space="0" w:color="auto"/>
            <w:bottom w:val="none" w:sz="0" w:space="0" w:color="auto"/>
            <w:right w:val="none" w:sz="0" w:space="0" w:color="auto"/>
          </w:divBdr>
        </w:div>
        <w:div w:id="1741631840">
          <w:marLeft w:val="0"/>
          <w:marRight w:val="0"/>
          <w:marTop w:val="0"/>
          <w:marBottom w:val="0"/>
          <w:divBdr>
            <w:top w:val="none" w:sz="0" w:space="0" w:color="auto"/>
            <w:left w:val="none" w:sz="0" w:space="0" w:color="auto"/>
            <w:bottom w:val="none" w:sz="0" w:space="0" w:color="auto"/>
            <w:right w:val="none" w:sz="0" w:space="0" w:color="auto"/>
          </w:divBdr>
        </w:div>
      </w:divsChild>
    </w:div>
    <w:div w:id="852960894">
      <w:bodyDiv w:val="1"/>
      <w:marLeft w:val="0"/>
      <w:marRight w:val="0"/>
      <w:marTop w:val="0"/>
      <w:marBottom w:val="0"/>
      <w:divBdr>
        <w:top w:val="none" w:sz="0" w:space="0" w:color="auto"/>
        <w:left w:val="none" w:sz="0" w:space="0" w:color="auto"/>
        <w:bottom w:val="none" w:sz="0" w:space="0" w:color="auto"/>
        <w:right w:val="none" w:sz="0" w:space="0" w:color="auto"/>
      </w:divBdr>
      <w:divsChild>
        <w:div w:id="900410048">
          <w:marLeft w:val="0"/>
          <w:marRight w:val="0"/>
          <w:marTop w:val="0"/>
          <w:marBottom w:val="0"/>
          <w:divBdr>
            <w:top w:val="none" w:sz="0" w:space="0" w:color="auto"/>
            <w:left w:val="none" w:sz="0" w:space="0" w:color="auto"/>
            <w:bottom w:val="none" w:sz="0" w:space="0" w:color="auto"/>
            <w:right w:val="none" w:sz="0" w:space="0" w:color="auto"/>
          </w:divBdr>
          <w:divsChild>
            <w:div w:id="1003582785">
              <w:marLeft w:val="0"/>
              <w:marRight w:val="0"/>
              <w:marTop w:val="0"/>
              <w:marBottom w:val="0"/>
              <w:divBdr>
                <w:top w:val="none" w:sz="0" w:space="0" w:color="auto"/>
                <w:left w:val="none" w:sz="0" w:space="0" w:color="auto"/>
                <w:bottom w:val="none" w:sz="0" w:space="0" w:color="auto"/>
                <w:right w:val="none" w:sz="0" w:space="0" w:color="auto"/>
              </w:divBdr>
            </w:div>
            <w:div w:id="1510412076">
              <w:marLeft w:val="0"/>
              <w:marRight w:val="0"/>
              <w:marTop w:val="0"/>
              <w:marBottom w:val="0"/>
              <w:divBdr>
                <w:top w:val="none" w:sz="0" w:space="0" w:color="auto"/>
                <w:left w:val="none" w:sz="0" w:space="0" w:color="auto"/>
                <w:bottom w:val="none" w:sz="0" w:space="0" w:color="auto"/>
                <w:right w:val="none" w:sz="0" w:space="0" w:color="auto"/>
              </w:divBdr>
            </w:div>
            <w:div w:id="2036031252">
              <w:marLeft w:val="0"/>
              <w:marRight w:val="0"/>
              <w:marTop w:val="0"/>
              <w:marBottom w:val="0"/>
              <w:divBdr>
                <w:top w:val="none" w:sz="0" w:space="0" w:color="auto"/>
                <w:left w:val="none" w:sz="0" w:space="0" w:color="auto"/>
                <w:bottom w:val="none" w:sz="0" w:space="0" w:color="auto"/>
                <w:right w:val="none" w:sz="0" w:space="0" w:color="auto"/>
              </w:divBdr>
            </w:div>
            <w:div w:id="2061438248">
              <w:marLeft w:val="0"/>
              <w:marRight w:val="0"/>
              <w:marTop w:val="0"/>
              <w:marBottom w:val="0"/>
              <w:divBdr>
                <w:top w:val="none" w:sz="0" w:space="0" w:color="auto"/>
                <w:left w:val="none" w:sz="0" w:space="0" w:color="auto"/>
                <w:bottom w:val="none" w:sz="0" w:space="0" w:color="auto"/>
                <w:right w:val="none" w:sz="0" w:space="0" w:color="auto"/>
              </w:divBdr>
              <w:divsChild>
                <w:div w:id="297490149">
                  <w:marLeft w:val="0"/>
                  <w:marRight w:val="0"/>
                  <w:marTop w:val="0"/>
                  <w:marBottom w:val="0"/>
                  <w:divBdr>
                    <w:top w:val="none" w:sz="0" w:space="0" w:color="auto"/>
                    <w:left w:val="none" w:sz="0" w:space="0" w:color="auto"/>
                    <w:bottom w:val="none" w:sz="0" w:space="0" w:color="auto"/>
                    <w:right w:val="none" w:sz="0" w:space="0" w:color="auto"/>
                  </w:divBdr>
                </w:div>
                <w:div w:id="604264919">
                  <w:marLeft w:val="0"/>
                  <w:marRight w:val="0"/>
                  <w:marTop w:val="0"/>
                  <w:marBottom w:val="0"/>
                  <w:divBdr>
                    <w:top w:val="none" w:sz="0" w:space="0" w:color="auto"/>
                    <w:left w:val="none" w:sz="0" w:space="0" w:color="auto"/>
                    <w:bottom w:val="none" w:sz="0" w:space="0" w:color="auto"/>
                    <w:right w:val="none" w:sz="0" w:space="0" w:color="auto"/>
                  </w:divBdr>
                </w:div>
                <w:div w:id="865102692">
                  <w:marLeft w:val="0"/>
                  <w:marRight w:val="0"/>
                  <w:marTop w:val="0"/>
                  <w:marBottom w:val="0"/>
                  <w:divBdr>
                    <w:top w:val="none" w:sz="0" w:space="0" w:color="auto"/>
                    <w:left w:val="none" w:sz="0" w:space="0" w:color="auto"/>
                    <w:bottom w:val="none" w:sz="0" w:space="0" w:color="auto"/>
                    <w:right w:val="none" w:sz="0" w:space="0" w:color="auto"/>
                  </w:divBdr>
                </w:div>
                <w:div w:id="976254324">
                  <w:marLeft w:val="0"/>
                  <w:marRight w:val="0"/>
                  <w:marTop w:val="0"/>
                  <w:marBottom w:val="0"/>
                  <w:divBdr>
                    <w:top w:val="none" w:sz="0" w:space="0" w:color="auto"/>
                    <w:left w:val="none" w:sz="0" w:space="0" w:color="auto"/>
                    <w:bottom w:val="none" w:sz="0" w:space="0" w:color="auto"/>
                    <w:right w:val="none" w:sz="0" w:space="0" w:color="auto"/>
                  </w:divBdr>
                </w:div>
                <w:div w:id="1052117883">
                  <w:marLeft w:val="0"/>
                  <w:marRight w:val="0"/>
                  <w:marTop w:val="0"/>
                  <w:marBottom w:val="0"/>
                  <w:divBdr>
                    <w:top w:val="none" w:sz="0" w:space="0" w:color="auto"/>
                    <w:left w:val="none" w:sz="0" w:space="0" w:color="auto"/>
                    <w:bottom w:val="none" w:sz="0" w:space="0" w:color="auto"/>
                    <w:right w:val="none" w:sz="0" w:space="0" w:color="auto"/>
                  </w:divBdr>
                </w:div>
                <w:div w:id="2111974043">
                  <w:marLeft w:val="0"/>
                  <w:marRight w:val="0"/>
                  <w:marTop w:val="0"/>
                  <w:marBottom w:val="0"/>
                  <w:divBdr>
                    <w:top w:val="none" w:sz="0" w:space="0" w:color="auto"/>
                    <w:left w:val="none" w:sz="0" w:space="0" w:color="auto"/>
                    <w:bottom w:val="none" w:sz="0" w:space="0" w:color="auto"/>
                    <w:right w:val="none" w:sz="0" w:space="0" w:color="auto"/>
                  </w:divBdr>
                </w:div>
                <w:div w:id="21153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1965">
          <w:marLeft w:val="0"/>
          <w:marRight w:val="0"/>
          <w:marTop w:val="0"/>
          <w:marBottom w:val="0"/>
          <w:divBdr>
            <w:top w:val="none" w:sz="0" w:space="0" w:color="auto"/>
            <w:left w:val="none" w:sz="0" w:space="0" w:color="auto"/>
            <w:bottom w:val="none" w:sz="0" w:space="0" w:color="auto"/>
            <w:right w:val="none" w:sz="0" w:space="0" w:color="auto"/>
          </w:divBdr>
          <w:divsChild>
            <w:div w:id="128594013">
              <w:marLeft w:val="0"/>
              <w:marRight w:val="0"/>
              <w:marTop w:val="0"/>
              <w:marBottom w:val="0"/>
              <w:divBdr>
                <w:top w:val="none" w:sz="0" w:space="0" w:color="auto"/>
                <w:left w:val="none" w:sz="0" w:space="0" w:color="auto"/>
                <w:bottom w:val="none" w:sz="0" w:space="0" w:color="auto"/>
                <w:right w:val="none" w:sz="0" w:space="0" w:color="auto"/>
              </w:divBdr>
            </w:div>
            <w:div w:id="366612381">
              <w:marLeft w:val="0"/>
              <w:marRight w:val="0"/>
              <w:marTop w:val="0"/>
              <w:marBottom w:val="0"/>
              <w:divBdr>
                <w:top w:val="none" w:sz="0" w:space="0" w:color="auto"/>
                <w:left w:val="none" w:sz="0" w:space="0" w:color="auto"/>
                <w:bottom w:val="none" w:sz="0" w:space="0" w:color="auto"/>
                <w:right w:val="none" w:sz="0" w:space="0" w:color="auto"/>
              </w:divBdr>
            </w:div>
            <w:div w:id="1559129483">
              <w:marLeft w:val="0"/>
              <w:marRight w:val="0"/>
              <w:marTop w:val="0"/>
              <w:marBottom w:val="0"/>
              <w:divBdr>
                <w:top w:val="none" w:sz="0" w:space="0" w:color="auto"/>
                <w:left w:val="none" w:sz="0" w:space="0" w:color="auto"/>
                <w:bottom w:val="none" w:sz="0" w:space="0" w:color="auto"/>
                <w:right w:val="none" w:sz="0" w:space="0" w:color="auto"/>
              </w:divBdr>
            </w:div>
            <w:div w:id="19999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7489</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BMA Kupferzell</Company>
  <LinksUpToDate>false</LinksUpToDate>
  <CharactersWithSpaces>8707</CharactersWithSpaces>
  <SharedDoc>false</SharedDoc>
  <HLinks>
    <vt:vector size="12" baseType="variant">
      <vt:variant>
        <vt:i4>524364</vt:i4>
      </vt:variant>
      <vt:variant>
        <vt:i4>3</vt:i4>
      </vt:variant>
      <vt:variant>
        <vt:i4>0</vt:i4>
      </vt:variant>
      <vt:variant>
        <vt:i4>5</vt:i4>
      </vt:variant>
      <vt:variant>
        <vt:lpwstr>http://www.neuenstein.de/</vt:lpwstr>
      </vt:variant>
      <vt:variant>
        <vt:lpwstr/>
      </vt:variant>
      <vt:variant>
        <vt:i4>524380</vt:i4>
      </vt:variant>
      <vt:variant>
        <vt:i4>0</vt:i4>
      </vt:variant>
      <vt:variant>
        <vt:i4>0</vt:i4>
      </vt:variant>
      <vt:variant>
        <vt:i4>5</vt:i4>
      </vt:variant>
      <vt:variant>
        <vt:lpwstr>http://www.kupferzell.de/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Schurg</dc:creator>
  <cp:lastModifiedBy>Kleinfeld, Maria</cp:lastModifiedBy>
  <cp:revision>2</cp:revision>
  <cp:lastPrinted>2018-07-18T11:57:00Z</cp:lastPrinted>
  <dcterms:created xsi:type="dcterms:W3CDTF">2019-12-09T08:02:00Z</dcterms:created>
  <dcterms:modified xsi:type="dcterms:W3CDTF">2019-12-09T08:02:00Z</dcterms:modified>
</cp:coreProperties>
</file>